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658" w:rsidRDefault="00537658">
      <w:r w:rsidRPr="00537658">
        <w:rPr>
          <w:noProof/>
          <w:lang w:eastAsia="el-GR"/>
        </w:rPr>
        <w:drawing>
          <wp:anchor distT="0" distB="0" distL="114300" distR="114300" simplePos="0" relativeHeight="251659264" behindDoc="0" locked="0" layoutInCell="1" allowOverlap="1">
            <wp:simplePos x="0" y="0"/>
            <wp:positionH relativeFrom="column">
              <wp:posOffset>1762125</wp:posOffset>
            </wp:positionH>
            <wp:positionV relativeFrom="paragraph">
              <wp:posOffset>123825</wp:posOffset>
            </wp:positionV>
            <wp:extent cx="2457450" cy="1352550"/>
            <wp:effectExtent l="19050" t="0" r="0" b="0"/>
            <wp:wrapNone/>
            <wp:docPr id="2" name="Εικόνα 2" descr="LOGO-TEL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ELIKO"/>
                    <pic:cNvPicPr>
                      <a:picLocks noChangeAspect="1" noChangeArrowheads="1"/>
                    </pic:cNvPicPr>
                  </pic:nvPicPr>
                  <pic:blipFill>
                    <a:blip r:embed="rId5" cstate="print"/>
                    <a:srcRect/>
                    <a:stretch>
                      <a:fillRect/>
                    </a:stretch>
                  </pic:blipFill>
                  <pic:spPr bwMode="auto">
                    <a:xfrm>
                      <a:off x="0" y="0"/>
                      <a:ext cx="2457450" cy="1352550"/>
                    </a:xfrm>
                    <a:prstGeom prst="rect">
                      <a:avLst/>
                    </a:prstGeom>
                    <a:noFill/>
                    <a:ln w="9525">
                      <a:noFill/>
                      <a:miter lim="800000"/>
                      <a:headEnd/>
                      <a:tailEnd/>
                    </a:ln>
                  </pic:spPr>
                </pic:pic>
              </a:graphicData>
            </a:graphic>
          </wp:anchor>
        </w:drawing>
      </w:r>
    </w:p>
    <w:p w:rsidR="00537658" w:rsidRPr="00537658" w:rsidRDefault="00537658" w:rsidP="00537658"/>
    <w:p w:rsidR="00537658" w:rsidRPr="00537658" w:rsidRDefault="00537658" w:rsidP="00537658"/>
    <w:p w:rsidR="00537658" w:rsidRPr="00537658" w:rsidRDefault="00537658" w:rsidP="00537658"/>
    <w:p w:rsidR="00537658" w:rsidRPr="00537658" w:rsidRDefault="00537658" w:rsidP="00537658"/>
    <w:p w:rsidR="00537658" w:rsidRPr="00537658" w:rsidRDefault="00537658" w:rsidP="00537658"/>
    <w:p w:rsidR="00537658" w:rsidRDefault="00537658" w:rsidP="00537658"/>
    <w:p w:rsidR="00537658" w:rsidRDefault="00537658" w:rsidP="000B55A4">
      <w:pPr>
        <w:jc w:val="center"/>
      </w:pPr>
    </w:p>
    <w:p w:rsidR="00537658" w:rsidRPr="00C368BB" w:rsidRDefault="00537658" w:rsidP="000B55A4">
      <w:pPr>
        <w:jc w:val="center"/>
        <w:rPr>
          <w:rFonts w:ascii="Arial" w:hAnsi="Arial" w:cs="Arial"/>
          <w:color w:val="339966"/>
          <w:sz w:val="36"/>
          <w:szCs w:val="36"/>
          <w:lang w:val="en-US"/>
        </w:rPr>
      </w:pPr>
      <w:r w:rsidRPr="00E9150A">
        <w:rPr>
          <w:rFonts w:ascii="Arial" w:hAnsi="Arial" w:cs="Arial"/>
          <w:color w:val="339966"/>
          <w:sz w:val="36"/>
          <w:szCs w:val="36"/>
          <w:lang w:val="en-GB"/>
        </w:rPr>
        <w:t>E</w:t>
      </w:r>
      <w:r w:rsidRPr="00C368BB">
        <w:rPr>
          <w:rFonts w:ascii="Arial" w:hAnsi="Arial" w:cs="Arial"/>
          <w:color w:val="339966"/>
          <w:sz w:val="36"/>
          <w:szCs w:val="36"/>
          <w:lang w:val="en-US"/>
        </w:rPr>
        <w:t xml:space="preserve"> – </w:t>
      </w:r>
      <w:r w:rsidRPr="00E9150A">
        <w:rPr>
          <w:rFonts w:ascii="Arial" w:hAnsi="Arial" w:cs="Arial"/>
          <w:color w:val="339966"/>
          <w:sz w:val="36"/>
          <w:szCs w:val="36"/>
          <w:lang w:val="en-GB"/>
        </w:rPr>
        <w:t>Newsletter</w:t>
      </w:r>
    </w:p>
    <w:p w:rsidR="00537658" w:rsidRPr="00C368BB" w:rsidRDefault="00537658" w:rsidP="000B55A4">
      <w:pPr>
        <w:jc w:val="center"/>
        <w:rPr>
          <w:rFonts w:ascii="Arial" w:hAnsi="Arial" w:cs="Arial"/>
          <w:color w:val="339966"/>
          <w:sz w:val="36"/>
          <w:szCs w:val="36"/>
          <w:lang w:val="en-US"/>
        </w:rPr>
      </w:pPr>
      <w:r w:rsidRPr="00E9150A">
        <w:rPr>
          <w:rFonts w:ascii="Arial" w:hAnsi="Arial" w:cs="Arial"/>
          <w:color w:val="339966"/>
          <w:sz w:val="36"/>
          <w:szCs w:val="36"/>
          <w:lang w:val="en-GB"/>
        </w:rPr>
        <w:t>ECONOMIC</w:t>
      </w:r>
      <w:r w:rsidRPr="00C368BB">
        <w:rPr>
          <w:rFonts w:ascii="Arial" w:hAnsi="Arial" w:cs="Arial"/>
          <w:color w:val="339966"/>
          <w:sz w:val="36"/>
          <w:szCs w:val="36"/>
          <w:lang w:val="en-US"/>
        </w:rPr>
        <w:t xml:space="preserve"> </w:t>
      </w:r>
      <w:r w:rsidRPr="00E9150A">
        <w:rPr>
          <w:rFonts w:ascii="Arial" w:hAnsi="Arial" w:cs="Arial"/>
          <w:color w:val="339966"/>
          <w:sz w:val="36"/>
          <w:szCs w:val="36"/>
          <w:lang w:val="en-GB"/>
        </w:rPr>
        <w:t>NEWS</w:t>
      </w:r>
    </w:p>
    <w:p w:rsidR="00537658" w:rsidRPr="00537658" w:rsidRDefault="00E767F7" w:rsidP="000B55A4">
      <w:pPr>
        <w:jc w:val="center"/>
        <w:rPr>
          <w:rFonts w:ascii="Arial" w:hAnsi="Arial" w:cs="Arial"/>
          <w:color w:val="339966"/>
          <w:sz w:val="36"/>
          <w:szCs w:val="36"/>
          <w:lang w:val="en-US"/>
        </w:rPr>
      </w:pPr>
      <w:r>
        <w:rPr>
          <w:rFonts w:ascii="Arial" w:hAnsi="Arial" w:cs="Arial"/>
          <w:color w:val="339966"/>
          <w:sz w:val="36"/>
          <w:szCs w:val="36"/>
          <w:lang w:val="en-US"/>
        </w:rPr>
        <w:t>3</w:t>
      </w:r>
      <w:r w:rsidR="00537658" w:rsidRPr="00537658">
        <w:rPr>
          <w:rFonts w:ascii="Arial" w:hAnsi="Arial" w:cs="Arial"/>
          <w:color w:val="339966"/>
          <w:sz w:val="36"/>
          <w:szCs w:val="36"/>
          <w:lang w:val="en-US"/>
        </w:rPr>
        <w:t>/2012</w:t>
      </w:r>
    </w:p>
    <w:p w:rsidR="00537658" w:rsidRPr="00537658" w:rsidRDefault="00537658" w:rsidP="000B55A4">
      <w:pPr>
        <w:jc w:val="center"/>
        <w:rPr>
          <w:rFonts w:ascii="Arial" w:hAnsi="Arial" w:cs="Arial"/>
          <w:color w:val="339966"/>
          <w:sz w:val="36"/>
          <w:szCs w:val="36"/>
          <w:lang w:val="en-US"/>
        </w:rPr>
      </w:pPr>
    </w:p>
    <w:p w:rsidR="00537658" w:rsidRPr="00537658" w:rsidRDefault="00537658" w:rsidP="000B55A4">
      <w:pPr>
        <w:jc w:val="center"/>
        <w:rPr>
          <w:rFonts w:ascii="Arial" w:hAnsi="Arial" w:cs="Arial"/>
          <w:color w:val="339966"/>
          <w:sz w:val="36"/>
          <w:szCs w:val="36"/>
          <w:lang w:val="en-US"/>
        </w:rPr>
      </w:pPr>
    </w:p>
    <w:p w:rsidR="00537658" w:rsidRPr="00537658" w:rsidRDefault="00537658" w:rsidP="000B55A4">
      <w:pPr>
        <w:jc w:val="center"/>
        <w:rPr>
          <w:rFonts w:ascii="Arial" w:hAnsi="Arial" w:cs="Arial"/>
          <w:color w:val="339966"/>
          <w:sz w:val="36"/>
          <w:szCs w:val="36"/>
          <w:lang w:val="en-US"/>
        </w:rPr>
      </w:pPr>
    </w:p>
    <w:p w:rsidR="00537658" w:rsidRPr="00537658" w:rsidRDefault="00537658" w:rsidP="000B55A4">
      <w:pPr>
        <w:jc w:val="center"/>
        <w:rPr>
          <w:rFonts w:ascii="Arial" w:hAnsi="Arial" w:cs="Arial"/>
          <w:color w:val="339966"/>
          <w:sz w:val="36"/>
          <w:szCs w:val="36"/>
          <w:lang w:val="en-US"/>
        </w:rPr>
      </w:pPr>
    </w:p>
    <w:p w:rsidR="00537658" w:rsidRPr="00E767F7" w:rsidRDefault="00537658" w:rsidP="000B55A4">
      <w:pPr>
        <w:jc w:val="center"/>
        <w:rPr>
          <w:rFonts w:ascii="Arial" w:hAnsi="Arial" w:cs="Arial"/>
          <w:color w:val="339966"/>
          <w:sz w:val="36"/>
          <w:szCs w:val="36"/>
          <w:lang w:val="en-US"/>
        </w:rPr>
      </w:pPr>
      <w:r w:rsidRPr="00E9150A">
        <w:rPr>
          <w:rFonts w:ascii="Arial" w:hAnsi="Arial" w:cs="Arial"/>
          <w:color w:val="339966"/>
          <w:sz w:val="36"/>
          <w:szCs w:val="36"/>
        </w:rPr>
        <w:t>ΗΜΕΡΟΜΗΝ</w:t>
      </w:r>
      <w:r w:rsidRPr="00E9150A">
        <w:rPr>
          <w:rFonts w:ascii="Arial" w:hAnsi="Arial" w:cs="Arial"/>
          <w:color w:val="339966"/>
          <w:sz w:val="36"/>
          <w:szCs w:val="36"/>
          <w:lang w:val="en-GB"/>
        </w:rPr>
        <w:t>I</w:t>
      </w:r>
      <w:r w:rsidRPr="00E9150A">
        <w:rPr>
          <w:rFonts w:ascii="Arial" w:hAnsi="Arial" w:cs="Arial"/>
          <w:color w:val="339966"/>
          <w:sz w:val="36"/>
          <w:szCs w:val="36"/>
        </w:rPr>
        <w:t>Α</w:t>
      </w:r>
      <w:r w:rsidRPr="00E767F7">
        <w:rPr>
          <w:rFonts w:ascii="Arial" w:hAnsi="Arial" w:cs="Arial"/>
          <w:color w:val="339966"/>
          <w:sz w:val="36"/>
          <w:szCs w:val="36"/>
          <w:lang w:val="en-US"/>
        </w:rPr>
        <w:t xml:space="preserve"> </w:t>
      </w:r>
      <w:r w:rsidR="00E767F7">
        <w:rPr>
          <w:rFonts w:ascii="Arial" w:hAnsi="Arial" w:cs="Arial"/>
          <w:color w:val="339966"/>
          <w:sz w:val="36"/>
          <w:szCs w:val="36"/>
          <w:lang w:val="en-US"/>
        </w:rPr>
        <w:t>1</w:t>
      </w:r>
      <w:r w:rsidRPr="00E767F7">
        <w:rPr>
          <w:rFonts w:ascii="Arial" w:hAnsi="Arial" w:cs="Arial"/>
          <w:color w:val="339966"/>
          <w:sz w:val="36"/>
          <w:szCs w:val="36"/>
          <w:lang w:val="en-US"/>
        </w:rPr>
        <w:t>7/02/2012</w:t>
      </w:r>
    </w:p>
    <w:p w:rsidR="00537658" w:rsidRPr="00E767F7" w:rsidRDefault="00537658" w:rsidP="000B55A4">
      <w:pPr>
        <w:jc w:val="center"/>
        <w:rPr>
          <w:rFonts w:ascii="Arial" w:hAnsi="Arial" w:cs="Arial"/>
          <w:color w:val="339966"/>
          <w:sz w:val="36"/>
          <w:szCs w:val="36"/>
          <w:lang w:val="en-US"/>
        </w:rPr>
      </w:pPr>
    </w:p>
    <w:p w:rsidR="00537658" w:rsidRPr="00E767F7" w:rsidRDefault="00537658" w:rsidP="000B55A4">
      <w:pPr>
        <w:jc w:val="center"/>
        <w:rPr>
          <w:rFonts w:ascii="Arial" w:hAnsi="Arial" w:cs="Arial"/>
          <w:color w:val="339966"/>
          <w:sz w:val="36"/>
          <w:szCs w:val="36"/>
          <w:lang w:val="en-US"/>
        </w:rPr>
      </w:pPr>
    </w:p>
    <w:p w:rsidR="00537658" w:rsidRPr="00E767F7" w:rsidRDefault="00537658" w:rsidP="000B55A4">
      <w:pPr>
        <w:jc w:val="center"/>
        <w:rPr>
          <w:rFonts w:ascii="Arial" w:hAnsi="Arial" w:cs="Arial"/>
          <w:color w:val="339966"/>
          <w:sz w:val="36"/>
          <w:szCs w:val="36"/>
          <w:lang w:val="en-US"/>
        </w:rPr>
      </w:pPr>
    </w:p>
    <w:p w:rsidR="00537658" w:rsidRPr="00C60244" w:rsidRDefault="00537658" w:rsidP="000B55A4">
      <w:pPr>
        <w:jc w:val="center"/>
        <w:rPr>
          <w:rFonts w:ascii="Arial" w:hAnsi="Arial" w:cs="Arial"/>
          <w:color w:val="6CA877"/>
          <w:sz w:val="36"/>
          <w:szCs w:val="36"/>
        </w:rPr>
      </w:pPr>
      <w:r w:rsidRPr="00403AA8">
        <w:rPr>
          <w:rFonts w:ascii="Arial" w:hAnsi="Arial" w:cs="Arial"/>
          <w:color w:val="6CA877"/>
          <w:sz w:val="36"/>
          <w:szCs w:val="36"/>
        </w:rPr>
        <w:t>Επιμέλεια : Συντακτική Ομάδα Επιμελητηρίου</w:t>
      </w:r>
    </w:p>
    <w:p w:rsidR="00BC3B3E" w:rsidRPr="00E767F7" w:rsidRDefault="00BC3B3E" w:rsidP="00537658">
      <w:pPr>
        <w:tabs>
          <w:tab w:val="left" w:pos="2220"/>
        </w:tabs>
      </w:pPr>
    </w:p>
    <w:p w:rsidR="00537658" w:rsidRPr="00E767F7" w:rsidRDefault="00537658" w:rsidP="00537658">
      <w:pPr>
        <w:tabs>
          <w:tab w:val="left" w:pos="2220"/>
        </w:tabs>
        <w:rPr>
          <w:color w:val="9BBB59" w:themeColor="accent3"/>
        </w:rPr>
      </w:pPr>
    </w:p>
    <w:p w:rsidR="00127B9A" w:rsidRPr="00C21D1C" w:rsidRDefault="00127B9A" w:rsidP="00127B9A">
      <w:pPr>
        <w:outlineLvl w:val="0"/>
        <w:rPr>
          <w:rFonts w:ascii="Century Gothic" w:hAnsi="Century Gothic" w:cs="TimesNewRomanPS-BoldItalicMT"/>
          <w:b/>
          <w:bCs/>
          <w:iCs/>
          <w:color w:val="9BBB59" w:themeColor="accent3"/>
          <w:sz w:val="28"/>
          <w:szCs w:val="28"/>
        </w:rPr>
      </w:pPr>
      <w:bookmarkStart w:id="0" w:name="_Toc315701916"/>
      <w:r w:rsidRPr="00C21D1C">
        <w:rPr>
          <w:rFonts w:ascii="Century Gothic" w:hAnsi="Century Gothic" w:cs="TimesNewRomanPS-BoldItalicMT"/>
          <w:b/>
          <w:bCs/>
          <w:iCs/>
          <w:color w:val="9BBB59" w:themeColor="accent3"/>
          <w:sz w:val="28"/>
          <w:szCs w:val="28"/>
          <w:lang w:val="en-US"/>
        </w:rPr>
        <w:t>I</w:t>
      </w:r>
      <w:r w:rsidRPr="00C21D1C">
        <w:rPr>
          <w:rFonts w:ascii="Century Gothic" w:hAnsi="Century Gothic" w:cs="TimesNewRomanPS-BoldItalicMT"/>
          <w:b/>
          <w:bCs/>
          <w:iCs/>
          <w:color w:val="9BBB59" w:themeColor="accent3"/>
          <w:sz w:val="28"/>
          <w:szCs w:val="28"/>
        </w:rPr>
        <w:t>. ΟΙΚΟΝΟΜΙΚΗ ΠΟΛΙΤΙΚΗ ΚΑΙ ΕΞΕΛΙΞΗ ΒΑΣΙΚΩΝ ΟΙΚΟΝΟΜΙΚΩΝ ΜΕΓΕΘΩΝ ΒΟΥΛΓΑΡΙΑΣ</w:t>
      </w:r>
      <w:bookmarkEnd w:id="0"/>
      <w:r w:rsidRPr="00C21D1C">
        <w:rPr>
          <w:rFonts w:ascii="Century Gothic" w:hAnsi="Century Gothic" w:cs="TimesNewRomanPS-BoldItalicMT"/>
          <w:b/>
          <w:bCs/>
          <w:iCs/>
          <w:color w:val="9BBB59" w:themeColor="accent3"/>
          <w:sz w:val="28"/>
          <w:szCs w:val="28"/>
        </w:rPr>
        <w:t xml:space="preserve"> </w:t>
      </w:r>
    </w:p>
    <w:p w:rsidR="00127B9A" w:rsidRPr="00482926" w:rsidRDefault="00127B9A" w:rsidP="00127B9A">
      <w:pPr>
        <w:spacing w:line="360" w:lineRule="auto"/>
        <w:ind w:firstLine="720"/>
        <w:jc w:val="center"/>
        <w:rPr>
          <w:rFonts w:ascii="Book Antiqua" w:hAnsi="Book Antiqua"/>
          <w:b/>
          <w:color w:val="231F20"/>
        </w:rPr>
      </w:pPr>
    </w:p>
    <w:p w:rsidR="00127B9A" w:rsidRPr="00CB4CFC" w:rsidRDefault="00127B9A" w:rsidP="00127B9A">
      <w:pPr>
        <w:pBdr>
          <w:top w:val="single" w:sz="4" w:space="0" w:color="000000"/>
          <w:left w:val="single" w:sz="4" w:space="0" w:color="000000"/>
          <w:bottom w:val="single" w:sz="4" w:space="0" w:color="000000"/>
          <w:right w:val="single" w:sz="4" w:space="4" w:color="000000"/>
        </w:pBdr>
        <w:shd w:val="clear" w:color="auto" w:fill="CCFFCC"/>
        <w:spacing w:line="360" w:lineRule="auto"/>
        <w:jc w:val="both"/>
        <w:outlineLvl w:val="2"/>
        <w:rPr>
          <w:rFonts w:ascii="Book Antiqua" w:hAnsi="Book Antiqua"/>
          <w:b/>
        </w:rPr>
      </w:pPr>
      <w:bookmarkStart w:id="1" w:name="_Toc315701917"/>
      <w:r w:rsidRPr="00482926">
        <w:rPr>
          <w:rFonts w:ascii="Book Antiqua" w:hAnsi="Book Antiqua"/>
          <w:b/>
        </w:rPr>
        <w:t xml:space="preserve"> </w:t>
      </w:r>
      <w:r>
        <w:rPr>
          <w:rFonts w:ascii="Book Antiqua" w:hAnsi="Book Antiqua"/>
          <w:b/>
        </w:rPr>
        <w:t>Πρόσφατες οικονομικές εξελίξεις στη Βουλγαρία (Ιανουάριος 2012)</w:t>
      </w:r>
      <w:bookmarkEnd w:id="1"/>
    </w:p>
    <w:p w:rsidR="00127B9A" w:rsidRPr="00011551" w:rsidRDefault="00127B9A" w:rsidP="00127B9A">
      <w:pPr>
        <w:jc w:val="center"/>
        <w:rPr>
          <w:rFonts w:ascii="Book Antiqua" w:hAnsi="Book Antiqua" w:cs="Arial"/>
          <w:b/>
          <w:u w:val="single"/>
        </w:rPr>
      </w:pPr>
    </w:p>
    <w:p w:rsidR="00127B9A" w:rsidRDefault="00127B9A" w:rsidP="00127B9A">
      <w:pPr>
        <w:ind w:firstLine="720"/>
        <w:jc w:val="both"/>
        <w:textAlignment w:val="top"/>
        <w:rPr>
          <w:rFonts w:ascii="Arial" w:hAnsi="Arial" w:cs="Arial"/>
          <w:color w:val="888888"/>
          <w:sz w:val="20"/>
          <w:szCs w:val="20"/>
        </w:rPr>
      </w:pPr>
      <w:r>
        <w:rPr>
          <w:rFonts w:ascii="Book Antiqua" w:hAnsi="Book Antiqua" w:cs="Arial"/>
        </w:rPr>
        <w:t>Σύμφωνα με το πιο πρόσφατο ενημερωτικό δελτίο του αρμόδιου Υπουργείου Οικονομικών και τα ενημερωμένα στατιστικά στοιχεία της Κεντρικής Τράπεζας και του Στατιστικού Ινστιτούτου, οι πρόσφατες οικονομικές εξελίξεις στη Βουλγαρία έχουν ως εξής:</w:t>
      </w:r>
    </w:p>
    <w:p w:rsidR="00127B9A" w:rsidRDefault="00127B9A" w:rsidP="00127B9A">
      <w:pPr>
        <w:ind w:left="1140"/>
        <w:jc w:val="both"/>
        <w:rPr>
          <w:rFonts w:ascii="Book Antiqua" w:hAnsi="Book Antiqua"/>
        </w:rPr>
      </w:pPr>
    </w:p>
    <w:p w:rsidR="00127B9A" w:rsidRDefault="00127B9A" w:rsidP="00127B9A">
      <w:pPr>
        <w:spacing w:after="0" w:line="240" w:lineRule="auto"/>
        <w:jc w:val="both"/>
        <w:rPr>
          <w:rFonts w:ascii="Book Antiqua" w:hAnsi="Book Antiqua"/>
        </w:rPr>
      </w:pPr>
      <w:r>
        <w:rPr>
          <w:rFonts w:ascii="Book Antiqua" w:hAnsi="Book Antiqua"/>
        </w:rPr>
        <w:t xml:space="preserve">Ο δείκτης </w:t>
      </w:r>
      <w:r>
        <w:rPr>
          <w:rFonts w:ascii="Book Antiqua" w:hAnsi="Book Antiqua"/>
          <w:u w:val="single"/>
        </w:rPr>
        <w:t>βιομηχανικής παραγωγής</w:t>
      </w:r>
      <w:r>
        <w:rPr>
          <w:rFonts w:ascii="Book Antiqua" w:hAnsi="Book Antiqua"/>
        </w:rPr>
        <w:t xml:space="preserve"> συνέχισε τη θετική του πορεία και τον Οκτώβριο 2011 (+10,8% σε ετήσια βάση). Αντίθετα, αρνητική πορεία ακολούθησαν και οι </w:t>
      </w:r>
      <w:r>
        <w:rPr>
          <w:rFonts w:ascii="Book Antiqua" w:hAnsi="Book Antiqua"/>
          <w:u w:val="single"/>
        </w:rPr>
        <w:t>λιανικές πωλήσεις</w:t>
      </w:r>
      <w:r>
        <w:rPr>
          <w:rFonts w:ascii="Book Antiqua" w:hAnsi="Book Antiqua"/>
        </w:rPr>
        <w:t xml:space="preserve"> (-5,3% το Νοέμβριο 2011) με εξαίρεση μόνο τις πωλήσεις καλλυντικών, ειδών υγιεινής και ορθοπεδικού υλικού. Πτωτικά κινήθηκε το Νοέμβριο 2011 και η </w:t>
      </w:r>
      <w:r>
        <w:rPr>
          <w:rFonts w:ascii="Book Antiqua" w:hAnsi="Book Antiqua"/>
          <w:u w:val="single"/>
        </w:rPr>
        <w:t>κατασκευαστική δραστηριότητα,</w:t>
      </w:r>
      <w:r>
        <w:rPr>
          <w:rFonts w:ascii="Book Antiqua" w:hAnsi="Book Antiqua"/>
        </w:rPr>
        <w:t xml:space="preserve"> (-10,3%). Μεγαλύτερη ήταν η πτώση στην κατασκευή μεγάλων έργων (-16,3%) και μικρότερη στην κατασκευή κτηρίων (-5,2%)</w:t>
      </w:r>
      <w:r>
        <w:rPr>
          <w:rFonts w:ascii="Book Antiqua" w:hAnsi="Book Antiqua"/>
          <w:color w:val="231F20"/>
        </w:rPr>
        <w:t xml:space="preserve">. </w:t>
      </w:r>
    </w:p>
    <w:p w:rsidR="00127B9A" w:rsidRDefault="00127B9A" w:rsidP="00127B9A">
      <w:pPr>
        <w:spacing w:after="0" w:line="240" w:lineRule="auto"/>
        <w:jc w:val="both"/>
        <w:rPr>
          <w:rFonts w:ascii="Book Antiqua" w:hAnsi="Book Antiqua"/>
        </w:rPr>
      </w:pPr>
      <w:r>
        <w:rPr>
          <w:rFonts w:ascii="Book Antiqua" w:hAnsi="Book Antiqua"/>
        </w:rPr>
        <w:t xml:space="preserve">Σε </w:t>
      </w:r>
      <w:proofErr w:type="spellStart"/>
      <w:r>
        <w:rPr>
          <w:rFonts w:ascii="Book Antiqua" w:hAnsi="Book Antiqua"/>
        </w:rPr>
        <w:t>ό,τι</w:t>
      </w:r>
      <w:proofErr w:type="spellEnd"/>
      <w:r>
        <w:rPr>
          <w:rFonts w:ascii="Book Antiqua" w:hAnsi="Book Antiqua"/>
        </w:rPr>
        <w:t xml:space="preserve"> αφορά τον δείκτη </w:t>
      </w:r>
      <w:r>
        <w:rPr>
          <w:rFonts w:ascii="Book Antiqua" w:hAnsi="Book Antiqua"/>
          <w:u w:val="single"/>
        </w:rPr>
        <w:t>επιχειρηματικού κλίματος</w:t>
      </w:r>
      <w:r>
        <w:rPr>
          <w:rFonts w:ascii="Book Antiqua" w:hAnsi="Book Antiqua"/>
        </w:rPr>
        <w:t>, το Δεκέμβριο 2011παρέμεινε αμετάβλητος, καθώς πτωτικές τάσεις παρατηρούνται μόνο στον κλάδο των κατασκευών (-5%)</w:t>
      </w:r>
      <w:r>
        <w:rPr>
          <w:rFonts w:ascii="Book Antiqua" w:hAnsi="Book Antiqua"/>
          <w:color w:val="000000"/>
        </w:rPr>
        <w:t xml:space="preserve">. Θετικές κρίνονται από τα στελέχη των αντίστοιχων κλάδων οι προοπτικές για τις εταιρείες της βιομηχανίας (+2,1%) και των υπηρεσιών (+2,8%), ενώ αμετάβλητος παραμένει ο δείκτης ως προς τις επιχειρήσεις του λιανικού εμπορίου. </w:t>
      </w:r>
    </w:p>
    <w:p w:rsidR="00127B9A" w:rsidRDefault="00127B9A" w:rsidP="00127B9A">
      <w:pPr>
        <w:rPr>
          <w:rFonts w:ascii="Book Antiqua" w:hAnsi="Book Antiqua"/>
          <w:lang w:val="en-US"/>
        </w:rPr>
      </w:pPr>
    </w:p>
    <w:p w:rsidR="00E767F7" w:rsidRPr="00E767F7" w:rsidRDefault="00E767F7" w:rsidP="00127B9A">
      <w:pPr>
        <w:rPr>
          <w:rFonts w:ascii="Book Antiqua" w:hAnsi="Book Antiqua"/>
          <w:lang w:val="en-US"/>
        </w:rPr>
        <w:sectPr w:rsidR="00E767F7" w:rsidRPr="00E767F7" w:rsidSect="00127B9A">
          <w:pgSz w:w="12240" w:h="15840"/>
          <w:pgMar w:top="1440" w:right="1800" w:bottom="1440" w:left="1800" w:header="720" w:footer="720" w:gutter="0"/>
          <w:cols w:space="720"/>
        </w:sectPr>
      </w:pPr>
    </w:p>
    <w:p w:rsidR="00127B9A" w:rsidRPr="00F05185" w:rsidRDefault="00127B9A" w:rsidP="00127B9A">
      <w:pPr>
        <w:ind w:left="1140"/>
        <w:jc w:val="both"/>
        <w:rPr>
          <w:rFonts w:ascii="Book Antiqua" w:hAnsi="Book Antiqua"/>
        </w:rPr>
      </w:pPr>
      <w:r>
        <w:rPr>
          <w:rFonts w:ascii="Book Antiqua" w:hAnsi="Book Antiqua"/>
          <w:noProof/>
          <w:lang w:eastAsia="el-GR"/>
        </w:rPr>
        <w:lastRenderedPageBreak/>
        <w:drawing>
          <wp:inline distT="0" distB="0" distL="0" distR="0">
            <wp:extent cx="2514600" cy="1543050"/>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14600" cy="1543050"/>
                    </a:xfrm>
                    <a:prstGeom prst="rect">
                      <a:avLst/>
                    </a:prstGeom>
                    <a:noFill/>
                    <a:ln w="9525">
                      <a:noFill/>
                      <a:miter lim="800000"/>
                      <a:headEnd/>
                      <a:tailEnd/>
                    </a:ln>
                  </pic:spPr>
                </pic:pic>
              </a:graphicData>
            </a:graphic>
          </wp:inline>
        </w:drawing>
      </w:r>
    </w:p>
    <w:p w:rsidR="00127B9A" w:rsidRDefault="00127B9A" w:rsidP="00127B9A">
      <w:pPr>
        <w:ind w:left="1140"/>
        <w:jc w:val="both"/>
        <w:rPr>
          <w:b/>
          <w:sz w:val="20"/>
          <w:szCs w:val="20"/>
        </w:rPr>
      </w:pPr>
      <w:r>
        <w:rPr>
          <w:b/>
          <w:sz w:val="20"/>
          <w:szCs w:val="20"/>
        </w:rPr>
        <w:t>Διάγραμμα 1: Δείκτης βιομηχανικής παραγωγής (ενίσχυση σε ετήσια βάση 10,8%) τον Οκτώβριο 2011</w:t>
      </w:r>
    </w:p>
    <w:p w:rsidR="00127B9A" w:rsidRDefault="00127B9A" w:rsidP="00127B9A">
      <w:pPr>
        <w:ind w:left="1140"/>
        <w:jc w:val="both"/>
        <w:rPr>
          <w:rFonts w:ascii="Book Antiqua" w:hAnsi="Book Antiqua"/>
        </w:rPr>
      </w:pPr>
    </w:p>
    <w:p w:rsidR="00E767F7" w:rsidRDefault="00127B9A" w:rsidP="00127B9A">
      <w:pPr>
        <w:ind w:left="720"/>
        <w:jc w:val="both"/>
        <w:rPr>
          <w:b/>
          <w:sz w:val="20"/>
          <w:szCs w:val="20"/>
          <w:lang w:val="en-US"/>
        </w:rPr>
      </w:pPr>
      <w:r>
        <w:rPr>
          <w:rFonts w:ascii="Book Antiqua" w:hAnsi="Book Antiqua"/>
          <w:noProof/>
          <w:lang w:eastAsia="el-GR"/>
        </w:rPr>
        <w:lastRenderedPageBreak/>
        <w:drawing>
          <wp:inline distT="0" distB="0" distL="0" distR="0">
            <wp:extent cx="2057400" cy="1571625"/>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057400" cy="1571625"/>
                    </a:xfrm>
                    <a:prstGeom prst="rect">
                      <a:avLst/>
                    </a:prstGeom>
                    <a:noFill/>
                    <a:ln w="9525">
                      <a:noFill/>
                      <a:miter lim="800000"/>
                      <a:headEnd/>
                      <a:tailEnd/>
                    </a:ln>
                  </pic:spPr>
                </pic:pic>
              </a:graphicData>
            </a:graphic>
          </wp:inline>
        </w:drawing>
      </w:r>
    </w:p>
    <w:p w:rsidR="00127B9A" w:rsidRPr="00E767F7" w:rsidRDefault="00127B9A" w:rsidP="00127B9A">
      <w:pPr>
        <w:ind w:left="720"/>
        <w:jc w:val="both"/>
        <w:rPr>
          <w:b/>
          <w:sz w:val="20"/>
          <w:szCs w:val="20"/>
        </w:rPr>
      </w:pPr>
      <w:r>
        <w:rPr>
          <w:b/>
          <w:sz w:val="20"/>
          <w:szCs w:val="20"/>
        </w:rPr>
        <w:t xml:space="preserve"> Διάγραμμα 2: Δείκτης βιομηχανικού κλίματος</w:t>
      </w:r>
    </w:p>
    <w:p w:rsidR="00127B9A" w:rsidRPr="00E767F7" w:rsidRDefault="00127B9A" w:rsidP="00127B9A">
      <w:pPr>
        <w:ind w:left="720"/>
        <w:jc w:val="both"/>
        <w:rPr>
          <w:b/>
          <w:sz w:val="20"/>
          <w:szCs w:val="20"/>
        </w:rPr>
      </w:pPr>
    </w:p>
    <w:p w:rsidR="00127B9A" w:rsidRDefault="00127B9A" w:rsidP="00127B9A">
      <w:pPr>
        <w:spacing w:after="0" w:line="240" w:lineRule="auto"/>
        <w:jc w:val="both"/>
        <w:rPr>
          <w:rFonts w:ascii="Book Antiqua" w:hAnsi="Book Antiqua"/>
        </w:rPr>
      </w:pPr>
      <w:r>
        <w:rPr>
          <w:rFonts w:ascii="Book Antiqua" w:hAnsi="Book Antiqua"/>
        </w:rPr>
        <w:t xml:space="preserve">Οριακή αύξηση (0,1%) κατέγραψε ο </w:t>
      </w:r>
      <w:r>
        <w:rPr>
          <w:rFonts w:ascii="Book Antiqua" w:hAnsi="Book Antiqua"/>
          <w:u w:val="single"/>
        </w:rPr>
        <w:t>πληθωρισμός</w:t>
      </w:r>
      <w:r>
        <w:rPr>
          <w:rFonts w:ascii="Book Antiqua" w:hAnsi="Book Antiqua"/>
        </w:rPr>
        <w:t xml:space="preserve"> στη Βουλγαρία το Δεκέμβριο 2011 σε σχέση με τον προηγούμενο μήνα. Σε σύγκριση με τον αντίστοιχο μήνα του 2010 η άνοδος ανέρχεται σε 2,8. Ο μέσος ετήσιος πληθωρισμός ανήλθε στο 4,2%. Βάσει του εναρμονισμένου δείκτη τιμών καταναλωτή (HICP), του συγκριτικού δηλαδή δείκτη τιμών μεταξύ όλων των κρατών-μελών της ΕΕ, ο πληθωρισμός αυξήθηκε σε μηνιαία βάση κατά 0,3% και σε ετήσια κατά 2%. Σε σχέση με το Νοέμβριο, η μεγαλύτερη αύξηση των τιμών καταναλωτή καταγράφηκε στους κλάδους της διασκέδασης και του πολιτισμού (1,8%) και των εστιατορίων/ξενοδοχείων (0,5%). Αντιθέτως, πτώση κατέγραψαν οι τιμές των μεταφορών (-1,1%) και των επικοινωνιών (-0,3%). Αμετάβλητες παρέμειναν οι τιμές στους κλάδους του ρουχισμού και της εκπαίδευσης.</w:t>
      </w:r>
    </w:p>
    <w:p w:rsidR="00127B9A" w:rsidRPr="006D4004" w:rsidRDefault="00127B9A" w:rsidP="00127B9A">
      <w:pPr>
        <w:numPr>
          <w:ilvl w:val="0"/>
          <w:numId w:val="1"/>
        </w:numPr>
        <w:tabs>
          <w:tab w:val="clear" w:pos="360"/>
          <w:tab w:val="num" w:pos="1500"/>
        </w:tabs>
        <w:spacing w:after="0" w:line="240" w:lineRule="auto"/>
        <w:ind w:left="1500"/>
        <w:jc w:val="both"/>
        <w:rPr>
          <w:rFonts w:ascii="Book Antiqua" w:hAnsi="Book Antiqua"/>
        </w:rPr>
        <w:sectPr w:rsidR="00127B9A" w:rsidRPr="006D4004">
          <w:type w:val="continuous"/>
          <w:pgSz w:w="12240" w:h="15840"/>
          <w:pgMar w:top="1440" w:right="1800" w:bottom="1440" w:left="1800" w:header="720" w:footer="720" w:gutter="0"/>
          <w:cols w:space="720"/>
        </w:sectPr>
      </w:pPr>
    </w:p>
    <w:p w:rsidR="00127B9A" w:rsidRDefault="00127B9A" w:rsidP="00127B9A">
      <w:pPr>
        <w:pStyle w:val="a4"/>
        <w:ind w:left="1140"/>
        <w:rPr>
          <w:lang w:val="el-GR"/>
        </w:rPr>
      </w:pPr>
      <w:r>
        <w:rPr>
          <w:rFonts w:ascii="Book Antiqua" w:hAnsi="Book Antiqua"/>
          <w:noProof/>
          <w:lang w:val="el-GR" w:eastAsia="el-GR"/>
        </w:rPr>
        <w:lastRenderedPageBreak/>
        <w:drawing>
          <wp:inline distT="0" distB="0" distL="0" distR="0">
            <wp:extent cx="2514600" cy="1876425"/>
            <wp:effectExtent l="1905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514600" cy="1876425"/>
                    </a:xfrm>
                    <a:prstGeom prst="rect">
                      <a:avLst/>
                    </a:prstGeom>
                    <a:noFill/>
                    <a:ln w="9525">
                      <a:noFill/>
                      <a:miter lim="800000"/>
                      <a:headEnd/>
                      <a:tailEnd/>
                    </a:ln>
                  </pic:spPr>
                </pic:pic>
              </a:graphicData>
            </a:graphic>
          </wp:inline>
        </w:drawing>
      </w:r>
    </w:p>
    <w:p w:rsidR="00127B9A" w:rsidRDefault="00127B9A" w:rsidP="00127B9A">
      <w:pPr>
        <w:pStyle w:val="a4"/>
        <w:ind w:left="1140"/>
        <w:rPr>
          <w:lang w:val="el-GR"/>
        </w:rPr>
      </w:pPr>
      <w:r>
        <w:rPr>
          <w:lang w:val="el-GR"/>
        </w:rPr>
        <w:t>Διάγραμμα 3: Εισροές και εκροές ανέργων σε χιλιάδες (2009-2011)</w:t>
      </w:r>
    </w:p>
    <w:p w:rsidR="00127B9A" w:rsidRPr="00E767F7" w:rsidRDefault="00127B9A" w:rsidP="00127B9A">
      <w:r>
        <w:lastRenderedPageBreak/>
        <w:t xml:space="preserve">       </w:t>
      </w:r>
      <w:r>
        <w:rPr>
          <w:noProof/>
          <w:lang w:eastAsia="el-GR"/>
        </w:rPr>
        <w:drawing>
          <wp:inline distT="0" distB="0" distL="0" distR="0">
            <wp:extent cx="2514600" cy="1676400"/>
            <wp:effectExtent l="1905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514600" cy="1676400"/>
                    </a:xfrm>
                    <a:prstGeom prst="rect">
                      <a:avLst/>
                    </a:prstGeom>
                    <a:noFill/>
                    <a:ln w="9525">
                      <a:noFill/>
                      <a:miter lim="800000"/>
                      <a:headEnd/>
                      <a:tailEnd/>
                    </a:ln>
                  </pic:spPr>
                </pic:pic>
              </a:graphicData>
            </a:graphic>
          </wp:inline>
        </w:drawing>
      </w:r>
      <w:r>
        <w:t xml:space="preserve"> </w:t>
      </w:r>
      <w:r>
        <w:rPr>
          <w:b/>
          <w:sz w:val="20"/>
          <w:szCs w:val="20"/>
        </w:rPr>
        <w:t>Διάγραμμα 4: Εναρμονισμένος δείκτης τιμών καταναλωτή ανά ομάδες προϊόντων (2009-2011, μεταβολή σε % σε ετήσια βάση)</w:t>
      </w:r>
    </w:p>
    <w:p w:rsidR="00127B9A" w:rsidRDefault="00127B9A" w:rsidP="00127B9A">
      <w:pPr>
        <w:rPr>
          <w:rFonts w:ascii="Book Antiqua" w:hAnsi="Book Antiqua"/>
        </w:rPr>
        <w:sectPr w:rsidR="00127B9A">
          <w:type w:val="continuous"/>
          <w:pgSz w:w="12240" w:h="15840"/>
          <w:pgMar w:top="1440" w:right="1800" w:bottom="1440" w:left="1800" w:header="720" w:footer="720" w:gutter="0"/>
          <w:cols w:num="2" w:space="720"/>
        </w:sectPr>
      </w:pPr>
    </w:p>
    <w:p w:rsidR="00127B9A" w:rsidRDefault="00127B9A" w:rsidP="00127B9A">
      <w:pPr>
        <w:ind w:left="1140"/>
        <w:jc w:val="both"/>
        <w:rPr>
          <w:rFonts w:ascii="Book Antiqua" w:hAnsi="Book Antiqua"/>
        </w:rPr>
      </w:pPr>
    </w:p>
    <w:p w:rsidR="00127B9A" w:rsidRDefault="00127B9A" w:rsidP="00127B9A">
      <w:pPr>
        <w:spacing w:after="0" w:line="240" w:lineRule="auto"/>
        <w:jc w:val="both"/>
        <w:rPr>
          <w:rFonts w:ascii="Book Antiqua" w:hAnsi="Book Antiqua"/>
        </w:rPr>
      </w:pPr>
      <w:r>
        <w:rPr>
          <w:rFonts w:ascii="Book Antiqua" w:hAnsi="Book Antiqua"/>
        </w:rPr>
        <w:t xml:space="preserve">Το </w:t>
      </w:r>
      <w:r>
        <w:rPr>
          <w:rFonts w:ascii="Book Antiqua" w:hAnsi="Book Antiqua"/>
          <w:u w:val="single"/>
        </w:rPr>
        <w:t>ισοζυγίου τρεχουσών συναλλαγών</w:t>
      </w:r>
      <w:r>
        <w:rPr>
          <w:rFonts w:ascii="Book Antiqua" w:hAnsi="Book Antiqua"/>
        </w:rPr>
        <w:t xml:space="preserve"> ήταν ελλειμματικό τον Οκτώβριο 2011 κατά €142,1 εκατ. Συνολικά, όμως, την περίοδο Ιανουαρίου – Οκτωβρίου κατεγράφη πλεόνασμα ύψους €1,25  δισ. (3,2% του ΑΕΠ). Η εξέλιξη αυτή οφείλεται στις </w:t>
      </w:r>
      <w:r>
        <w:rPr>
          <w:rFonts w:ascii="Book Antiqua" w:hAnsi="Book Antiqua"/>
          <w:u w:val="single"/>
        </w:rPr>
        <w:t>εξαγωγές</w:t>
      </w:r>
      <w:r>
        <w:rPr>
          <w:rFonts w:ascii="Book Antiqua" w:hAnsi="Book Antiqua"/>
        </w:rPr>
        <w:t xml:space="preserve">, που σημειώνουν σταθερή ανοδική τάση ήδη </w:t>
      </w:r>
      <w:r>
        <w:rPr>
          <w:rFonts w:ascii="Book Antiqua" w:hAnsi="Book Antiqua"/>
        </w:rPr>
        <w:lastRenderedPageBreak/>
        <w:t xml:space="preserve">από τον Οκτώβριο 2011 (+35,7% σε ετήσια βάση). Αύξηση, όμως, σημείωσαν και οι </w:t>
      </w:r>
      <w:r>
        <w:rPr>
          <w:rFonts w:ascii="Book Antiqua" w:hAnsi="Book Antiqua"/>
          <w:u w:val="single"/>
        </w:rPr>
        <w:t>εισαγωγές</w:t>
      </w:r>
      <w:r>
        <w:rPr>
          <w:rFonts w:ascii="Book Antiqua" w:hAnsi="Book Antiqua"/>
        </w:rPr>
        <w:t xml:space="preserve"> (18%). Το </w:t>
      </w:r>
      <w:r>
        <w:rPr>
          <w:rFonts w:ascii="Book Antiqua" w:hAnsi="Book Antiqua"/>
          <w:u w:val="single"/>
        </w:rPr>
        <w:t>ακαθάριστο εξωτερικό χρέος</w:t>
      </w:r>
      <w:r>
        <w:rPr>
          <w:rFonts w:ascii="Book Antiqua" w:hAnsi="Book Antiqua"/>
        </w:rPr>
        <w:t xml:space="preserve"> περιορίστηκε στο 92% του ΑΕΠ τον Οκτώβριο 2011, μειωμένο κατά 1,3% σε σχέση με το αντίστοιχο διάστημα του 2010. Σημειώνεται ότι ήδη το 2011 </w:t>
      </w:r>
      <w:r>
        <w:rPr>
          <w:rFonts w:ascii="Book Antiqua" w:hAnsi="Book Antiqua"/>
          <w:color w:val="231F20"/>
        </w:rPr>
        <w:t xml:space="preserve">ο όγκος του εμπορίου προσέγγισε τα προ κρίσεως επίπεδα με </w:t>
      </w:r>
      <w:r>
        <w:rPr>
          <w:rFonts w:ascii="Book Antiqua" w:hAnsi="Book Antiqua"/>
          <w:color w:val="231F20"/>
        </w:rPr>
        <w:lastRenderedPageBreak/>
        <w:t>τις εξαγωγές να αυξάνονται κατά 31% και τις εισαγωγές κατά 22%.</w:t>
      </w:r>
    </w:p>
    <w:p w:rsidR="00127B9A" w:rsidRDefault="00127B9A" w:rsidP="00127B9A">
      <w:pPr>
        <w:spacing w:after="0" w:line="240" w:lineRule="auto"/>
        <w:jc w:val="both"/>
        <w:rPr>
          <w:rFonts w:ascii="Book Antiqua" w:hAnsi="Book Antiqua"/>
        </w:rPr>
      </w:pPr>
      <w:r>
        <w:rPr>
          <w:rFonts w:ascii="Book Antiqua" w:hAnsi="Book Antiqua"/>
        </w:rPr>
        <w:t xml:space="preserve">Σε </w:t>
      </w:r>
      <w:proofErr w:type="spellStart"/>
      <w:r>
        <w:rPr>
          <w:rFonts w:ascii="Book Antiqua" w:hAnsi="Book Antiqua"/>
        </w:rPr>
        <w:t>ό,τι</w:t>
      </w:r>
      <w:proofErr w:type="spellEnd"/>
      <w:r>
        <w:rPr>
          <w:rFonts w:ascii="Book Antiqua" w:hAnsi="Book Antiqua"/>
        </w:rPr>
        <w:t xml:space="preserve"> αφορά τις </w:t>
      </w:r>
      <w:r>
        <w:rPr>
          <w:rFonts w:ascii="Book Antiqua" w:hAnsi="Book Antiqua"/>
          <w:u w:val="single"/>
        </w:rPr>
        <w:t>ξένες επενδύσεις</w:t>
      </w:r>
      <w:r>
        <w:rPr>
          <w:rFonts w:ascii="Book Antiqua" w:hAnsi="Book Antiqua"/>
        </w:rPr>
        <w:t xml:space="preserve"> (ΑΞΕ), την περίοδο Ιανουαρίου – Νοεμβρίου ανήλθαν σε περίπου €740 εκατ. έναντι </w:t>
      </w:r>
      <w:r w:rsidRPr="0082606E">
        <w:rPr>
          <w:rFonts w:ascii="Book Antiqua" w:hAnsi="Book Antiqua"/>
        </w:rPr>
        <w:t>€</w:t>
      </w:r>
      <w:r>
        <w:rPr>
          <w:rFonts w:ascii="Book Antiqua" w:hAnsi="Book Antiqua"/>
        </w:rPr>
        <w:t xml:space="preserve">1,4 δισ. την αντίστοιχη περίοδο του 2010 (βλ. αναλυτικότερα στοιχεία παρακάτω). </w:t>
      </w:r>
    </w:p>
    <w:p w:rsidR="00127B9A" w:rsidRPr="002753FA" w:rsidRDefault="00127B9A" w:rsidP="00127B9A">
      <w:pPr>
        <w:ind w:left="1140"/>
        <w:jc w:val="both"/>
        <w:rPr>
          <w:rFonts w:ascii="Book Antiqua" w:hAnsi="Book Antiqua"/>
        </w:rPr>
      </w:pPr>
      <w:r>
        <w:rPr>
          <w:rFonts w:ascii="Book Antiqua" w:hAnsi="Book Antiqua"/>
          <w:noProof/>
          <w:lang w:eastAsia="el-GR"/>
        </w:rPr>
        <w:drawing>
          <wp:inline distT="0" distB="0" distL="0" distR="0">
            <wp:extent cx="1438275" cy="1733550"/>
            <wp:effectExtent l="19050" t="0" r="952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1438275" cy="1733550"/>
                    </a:xfrm>
                    <a:prstGeom prst="rect">
                      <a:avLst/>
                    </a:prstGeom>
                    <a:noFill/>
                    <a:ln w="9525">
                      <a:noFill/>
                      <a:miter lim="800000"/>
                      <a:headEnd/>
                      <a:tailEnd/>
                    </a:ln>
                  </pic:spPr>
                </pic:pic>
              </a:graphicData>
            </a:graphic>
          </wp:inline>
        </w:drawing>
      </w:r>
    </w:p>
    <w:p w:rsidR="00127B9A" w:rsidRPr="001D6877" w:rsidRDefault="00127B9A" w:rsidP="00E767F7">
      <w:pPr>
        <w:jc w:val="both"/>
        <w:rPr>
          <w:b/>
          <w:sz w:val="20"/>
          <w:szCs w:val="20"/>
        </w:rPr>
      </w:pPr>
      <w:r>
        <w:rPr>
          <w:b/>
          <w:sz w:val="20"/>
          <w:szCs w:val="20"/>
        </w:rPr>
        <w:t xml:space="preserve">Διάγραμμα 5: ΑΞΕ, ισοζύγιο </w:t>
      </w:r>
      <w:proofErr w:type="spellStart"/>
      <w:r>
        <w:rPr>
          <w:b/>
          <w:sz w:val="20"/>
          <w:szCs w:val="20"/>
        </w:rPr>
        <w:t>χρηματοοικ</w:t>
      </w:r>
      <w:proofErr w:type="spellEnd"/>
      <w:r>
        <w:rPr>
          <w:b/>
          <w:sz w:val="20"/>
          <w:szCs w:val="20"/>
        </w:rPr>
        <w:t xml:space="preserve">. συναλλαγών και ισοζύγιο </w:t>
      </w:r>
      <w:proofErr w:type="spellStart"/>
      <w:r>
        <w:rPr>
          <w:b/>
          <w:sz w:val="20"/>
          <w:szCs w:val="20"/>
        </w:rPr>
        <w:t>τρ</w:t>
      </w:r>
      <w:proofErr w:type="spellEnd"/>
      <w:r>
        <w:rPr>
          <w:b/>
          <w:sz w:val="20"/>
          <w:szCs w:val="20"/>
        </w:rPr>
        <w:t>. συναλλαγών στη Βουλγαρία την περίοδο 2007 – 2011</w:t>
      </w:r>
    </w:p>
    <w:p w:rsidR="00127B9A" w:rsidRDefault="00127B9A" w:rsidP="00127B9A">
      <w:pPr>
        <w:jc w:val="both"/>
        <w:rPr>
          <w:b/>
          <w:sz w:val="20"/>
          <w:szCs w:val="20"/>
        </w:rPr>
      </w:pPr>
      <w:r>
        <w:rPr>
          <w:rFonts w:ascii="Book Antiqua" w:hAnsi="Book Antiqua"/>
          <w:b/>
          <w:noProof/>
          <w:sz w:val="20"/>
          <w:szCs w:val="20"/>
          <w:lang w:eastAsia="el-GR"/>
        </w:rPr>
        <w:lastRenderedPageBreak/>
        <w:drawing>
          <wp:inline distT="0" distB="0" distL="0" distR="0">
            <wp:extent cx="2514600" cy="2114550"/>
            <wp:effectExtent l="1905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2514600" cy="2114550"/>
                    </a:xfrm>
                    <a:prstGeom prst="rect">
                      <a:avLst/>
                    </a:prstGeom>
                    <a:noFill/>
                    <a:ln w="9525">
                      <a:noFill/>
                      <a:miter lim="800000"/>
                      <a:headEnd/>
                      <a:tailEnd/>
                    </a:ln>
                  </pic:spPr>
                </pic:pic>
              </a:graphicData>
            </a:graphic>
          </wp:inline>
        </w:drawing>
      </w:r>
      <w:r>
        <w:rPr>
          <w:b/>
          <w:sz w:val="20"/>
          <w:szCs w:val="20"/>
        </w:rPr>
        <w:t xml:space="preserve"> </w:t>
      </w:r>
    </w:p>
    <w:p w:rsidR="00127B9A" w:rsidRDefault="00127B9A" w:rsidP="00127B9A">
      <w:pPr>
        <w:jc w:val="both"/>
        <w:rPr>
          <w:rFonts w:ascii="Book Antiqua" w:hAnsi="Book Antiqua"/>
          <w:b/>
          <w:sz w:val="20"/>
          <w:szCs w:val="20"/>
        </w:rPr>
      </w:pPr>
      <w:r>
        <w:rPr>
          <w:b/>
          <w:sz w:val="20"/>
          <w:szCs w:val="20"/>
        </w:rPr>
        <w:t xml:space="preserve"> Διάγραμμα 6: Ρυθμός ετήσιας αύξησης πιστώσεων στον ιδιωτικό τομέα (σε ετήσια βάση)</w:t>
      </w:r>
    </w:p>
    <w:p w:rsidR="00127B9A" w:rsidRDefault="00127B9A" w:rsidP="00127B9A">
      <w:pPr>
        <w:ind w:left="1140"/>
        <w:jc w:val="both"/>
        <w:rPr>
          <w:b/>
          <w:sz w:val="20"/>
          <w:szCs w:val="20"/>
        </w:rPr>
        <w:sectPr w:rsidR="00127B9A" w:rsidSect="00127B9A">
          <w:type w:val="continuous"/>
          <w:pgSz w:w="12240" w:h="15840"/>
          <w:pgMar w:top="1440" w:right="1800" w:bottom="1440" w:left="1800" w:header="720" w:footer="720" w:gutter="0"/>
          <w:cols w:num="2" w:space="720"/>
          <w:docGrid w:linePitch="360"/>
        </w:sectPr>
      </w:pPr>
    </w:p>
    <w:p w:rsidR="00127B9A" w:rsidRPr="009F60F0" w:rsidRDefault="00127B9A" w:rsidP="00127B9A">
      <w:pPr>
        <w:ind w:left="1140"/>
        <w:jc w:val="both"/>
        <w:rPr>
          <w:b/>
          <w:sz w:val="20"/>
          <w:szCs w:val="20"/>
        </w:rPr>
      </w:pPr>
    </w:p>
    <w:p w:rsidR="00127B9A" w:rsidRDefault="00127B9A" w:rsidP="00E767F7">
      <w:pPr>
        <w:spacing w:after="0" w:line="240" w:lineRule="auto"/>
        <w:jc w:val="both"/>
        <w:rPr>
          <w:rFonts w:ascii="Book Antiqua" w:hAnsi="Book Antiqua"/>
        </w:rPr>
      </w:pPr>
      <w:r>
        <w:rPr>
          <w:rFonts w:ascii="Book Antiqua" w:hAnsi="Book Antiqua"/>
        </w:rPr>
        <w:t xml:space="preserve">Στα τέλη Νοεμβρίου τα </w:t>
      </w:r>
      <w:r>
        <w:rPr>
          <w:rFonts w:ascii="Book Antiqua" w:hAnsi="Book Antiqua"/>
          <w:u w:val="single"/>
        </w:rPr>
        <w:t>δημοσιονομικά αποθέματα</w:t>
      </w:r>
      <w:r>
        <w:rPr>
          <w:rFonts w:ascii="Book Antiqua" w:hAnsi="Book Antiqua"/>
        </w:rPr>
        <w:t xml:space="preserve"> ανέρχονταν σε BGN 5,3 δισ. (€2,7 περίπου), πάνω από το νομοθετικό όριο των BGN 4,5 δισ. και αμετάβλητα κατά το τελευταίο δίμηνο.</w:t>
      </w:r>
    </w:p>
    <w:p w:rsidR="00127B9A" w:rsidRDefault="00127B9A" w:rsidP="00E767F7">
      <w:pPr>
        <w:spacing w:after="0" w:line="240" w:lineRule="auto"/>
        <w:jc w:val="both"/>
        <w:rPr>
          <w:rFonts w:ascii="Book Antiqua" w:hAnsi="Book Antiqua"/>
        </w:rPr>
      </w:pPr>
      <w:r>
        <w:rPr>
          <w:rFonts w:ascii="Book Antiqua" w:hAnsi="Book Antiqua"/>
        </w:rPr>
        <w:t xml:space="preserve">Σε </w:t>
      </w:r>
      <w:proofErr w:type="spellStart"/>
      <w:r>
        <w:rPr>
          <w:rFonts w:ascii="Book Antiqua" w:hAnsi="Book Antiqua"/>
        </w:rPr>
        <w:t>ό,τι</w:t>
      </w:r>
      <w:proofErr w:type="spellEnd"/>
      <w:r>
        <w:rPr>
          <w:rFonts w:ascii="Book Antiqua" w:hAnsi="Book Antiqua"/>
        </w:rPr>
        <w:t xml:space="preserve"> αφορά το </w:t>
      </w:r>
      <w:r>
        <w:rPr>
          <w:rFonts w:ascii="Book Antiqua" w:hAnsi="Book Antiqua"/>
          <w:u w:val="single"/>
        </w:rPr>
        <w:t>δημόσιο χρέος</w:t>
      </w:r>
      <w:r>
        <w:rPr>
          <w:rFonts w:ascii="Book Antiqua" w:hAnsi="Book Antiqua"/>
        </w:rPr>
        <w:t>, στα τέλη Νοεμβρίου 2011 η σχέση του με το ΑΕΠ διαμορφώθηκε στο 16%. Θετικά, επίσης, αποτιμά η κυβέρνηση το αποτέλεσμα της τελευταίας δημοπρασίας κρατικών ομολόγων για το  2011. Αναφορικά με τη δομή του, το 40% περίπου του εν λόγω χρέους είναι εσωτερικό και το 30% περίπου αφορά διεθνή ομόλογα (βλ. σχετικό διάγραμμα)</w:t>
      </w:r>
      <w:r w:rsidRPr="00B1021D">
        <w:rPr>
          <w:rFonts w:ascii="Book Antiqua" w:hAnsi="Book Antiqua"/>
        </w:rPr>
        <w:t xml:space="preserve">. </w:t>
      </w:r>
      <w:r>
        <w:rPr>
          <w:rFonts w:ascii="Book Antiqua" w:hAnsi="Book Antiqua"/>
        </w:rPr>
        <w:t xml:space="preserve">Τέλος, σημειώνεται ότι το </w:t>
      </w:r>
      <w:r>
        <w:rPr>
          <w:rFonts w:ascii="Book Antiqua" w:hAnsi="Book Antiqua"/>
        </w:rPr>
        <w:lastRenderedPageBreak/>
        <w:t>55% περίπου του βουλγαρικού δημοσίου χρέους είναι σε Ευρώ.</w:t>
      </w:r>
    </w:p>
    <w:p w:rsidR="00127B9A" w:rsidRDefault="00127B9A" w:rsidP="00E767F7">
      <w:pPr>
        <w:spacing w:line="260" w:lineRule="atLeast"/>
        <w:jc w:val="both"/>
        <w:rPr>
          <w:rFonts w:ascii="Book Antiqua" w:hAnsi="Book Antiqua"/>
          <w:lang w:val="en-US"/>
        </w:rPr>
      </w:pPr>
      <w:r>
        <w:rPr>
          <w:rFonts w:ascii="Book Antiqua" w:hAnsi="Book Antiqua"/>
        </w:rPr>
        <w:t xml:space="preserve">Στα τέλη Νοεμβρίου 2011 το </w:t>
      </w:r>
      <w:r>
        <w:rPr>
          <w:rFonts w:ascii="Book Antiqua" w:hAnsi="Book Antiqua"/>
          <w:u w:val="single"/>
        </w:rPr>
        <w:t>δημοσιονομικό έλλειμμα</w:t>
      </w:r>
      <w:r>
        <w:rPr>
          <w:rFonts w:ascii="Book Antiqua" w:hAnsi="Book Antiqua"/>
        </w:rPr>
        <w:t xml:space="preserve"> ανερχόταν σε BGN 1,05 δισ. (1,4% του ΑΕΠ και 86,4% του ετήσιου στόχου), μειωμένο σημαντικά (-1,3%) σε σχέση με την αντίστοιχη περίοδο του 2010. Τα </w:t>
      </w:r>
      <w:r>
        <w:rPr>
          <w:rFonts w:ascii="Book Antiqua" w:hAnsi="Book Antiqua"/>
          <w:u w:val="single"/>
        </w:rPr>
        <w:t>κρατικά έσοδα</w:t>
      </w:r>
      <w:r>
        <w:rPr>
          <w:rFonts w:ascii="Book Antiqua" w:hAnsi="Book Antiqua"/>
        </w:rPr>
        <w:t xml:space="preserve"> συνέχισαν να σημειώνουν αύξηση (6% σε ετήσια βάση) χάρη, κυρίως, στην ενίσχυση των εισροών από έμμεσους (+9,8%) και άμεσους φόρους (+9,4%). Αύξηση σημείωσαν και οι εισφορές κοινωνικής ασφάλισης και υγείας (+10,9%). Τέλος, οι </w:t>
      </w:r>
      <w:r>
        <w:rPr>
          <w:rFonts w:ascii="Book Antiqua" w:hAnsi="Book Antiqua"/>
          <w:u w:val="single"/>
        </w:rPr>
        <w:t>κρατικές δαπάνες</w:t>
      </w:r>
      <w:r>
        <w:rPr>
          <w:rFonts w:ascii="Book Antiqua" w:hAnsi="Book Antiqua"/>
        </w:rPr>
        <w:t xml:space="preserve"> αυξήθηκαν κατά 2% σε σχέση με την αντίστοιχη περίοδο του 2011.</w:t>
      </w:r>
    </w:p>
    <w:p w:rsidR="00E767F7" w:rsidRDefault="00E767F7" w:rsidP="00E767F7">
      <w:pPr>
        <w:spacing w:line="260" w:lineRule="atLeast"/>
        <w:jc w:val="both"/>
        <w:rPr>
          <w:rFonts w:ascii="Book Antiqua" w:hAnsi="Book Antiqua"/>
          <w:lang w:val="en-US"/>
        </w:rPr>
      </w:pPr>
    </w:p>
    <w:p w:rsidR="00E767F7" w:rsidRPr="00E767F7" w:rsidRDefault="00E767F7" w:rsidP="00E767F7">
      <w:pPr>
        <w:spacing w:line="260" w:lineRule="atLeast"/>
        <w:jc w:val="both"/>
        <w:rPr>
          <w:rFonts w:ascii="Book Antiqua" w:hAnsi="Book Antiqua"/>
          <w:color w:val="000000"/>
          <w:lang w:val="en-US"/>
        </w:rPr>
      </w:pPr>
    </w:p>
    <w:p w:rsidR="00127B9A" w:rsidRDefault="00127B9A" w:rsidP="00127B9A">
      <w:pPr>
        <w:jc w:val="center"/>
        <w:rPr>
          <w:rFonts w:ascii="Book Antiqua" w:hAnsi="Book Antiqua" w:cs="Tahoma"/>
          <w:b/>
        </w:rPr>
      </w:pPr>
    </w:p>
    <w:p w:rsidR="00127B9A" w:rsidRPr="00A566AE" w:rsidRDefault="00127B9A" w:rsidP="00127B9A">
      <w:pPr>
        <w:pBdr>
          <w:top w:val="single" w:sz="4" w:space="0" w:color="000000"/>
          <w:left w:val="single" w:sz="4" w:space="0" w:color="000000"/>
          <w:bottom w:val="single" w:sz="4" w:space="0" w:color="000000"/>
          <w:right w:val="single" w:sz="4" w:space="4" w:color="000000"/>
        </w:pBdr>
        <w:shd w:val="clear" w:color="auto" w:fill="CCFFCC"/>
        <w:jc w:val="both"/>
        <w:outlineLvl w:val="2"/>
        <w:rPr>
          <w:rFonts w:ascii="Book Antiqua" w:hAnsi="Book Antiqua"/>
          <w:b/>
        </w:rPr>
      </w:pPr>
      <w:bookmarkStart w:id="2" w:name="_Toc315701918"/>
      <w:r>
        <w:rPr>
          <w:rFonts w:ascii="Book Antiqua" w:hAnsi="Book Antiqua"/>
          <w:b/>
        </w:rPr>
        <w:lastRenderedPageBreak/>
        <w:t>Αύξηση βουλγαρικών εξαγωγών προς ΕΕ και τρίτες χώρες</w:t>
      </w:r>
      <w:bookmarkEnd w:id="2"/>
    </w:p>
    <w:p w:rsidR="00127B9A" w:rsidRDefault="00127B9A" w:rsidP="00E767F7">
      <w:pPr>
        <w:spacing w:line="260" w:lineRule="atLeast"/>
        <w:jc w:val="both"/>
        <w:rPr>
          <w:rFonts w:ascii="Book Antiqua" w:hAnsi="Book Antiqua"/>
        </w:rPr>
      </w:pPr>
      <w:r>
        <w:rPr>
          <w:rFonts w:ascii="Book Antiqua" w:hAnsi="Book Antiqua"/>
        </w:rPr>
        <w:t xml:space="preserve">Βάσει προσωρινών στοιχείων που έδωσε στη δημοσιότητα το βουλγαρικό Στατιστικό Ινστιτούτο, το </w:t>
      </w:r>
      <w:proofErr w:type="spellStart"/>
      <w:r>
        <w:rPr>
          <w:rFonts w:ascii="Book Antiqua" w:hAnsi="Book Antiqua"/>
        </w:rPr>
        <w:t>α΄</w:t>
      </w:r>
      <w:proofErr w:type="spellEnd"/>
      <w:r>
        <w:rPr>
          <w:rFonts w:ascii="Book Antiqua" w:hAnsi="Book Antiqua"/>
        </w:rPr>
        <w:t xml:space="preserve"> ενδεκάμηνο 2011 οι βουλγαρικές εξαγωγές προς τρίτες εκτός ΕΕ χώρες αυξήθηκαν κατά 26,5% σε σύγκριση με την αντίστοιχη περίοδο του 2010. Κύριοι εμπορικοί εταίροι της Βουλγαρίας το ως άνω διάστημα αναδείχθηκαν η Τουρκία, η Σερβία, η Ρωσία, η FYROM και η Κίνα, η Ουκρανία και οι ΗΠΑ, στις οποίες κατευθύνθηκε το 53% των βουλγαρικών εξαγωγών προς εκτός ΕΕ χώρες. Σημαντική αύξηση, όμως, το ως άνω διάστημα κατέγραψαν και οι βουλγαρικές εισαγωγές (21,8% σε ετήσια βάση). Ειδικά, το Νοέμβριο 2011 οι βουλγαρικές εξαγωγές αυξήθηκαν σημαντικά κατά 6,7% και οι εισαγωγές κατά 7,4% σε σύγκριση με τον αντίστοιχο μήνα του 2010. </w:t>
      </w:r>
    </w:p>
    <w:p w:rsidR="00127B9A" w:rsidRPr="00147AD6" w:rsidRDefault="00127B9A" w:rsidP="00127B9A">
      <w:pPr>
        <w:spacing w:line="260" w:lineRule="atLeast"/>
        <w:ind w:firstLine="720"/>
        <w:jc w:val="both"/>
        <w:rPr>
          <w:rFonts w:ascii="Book Antiqua" w:hAnsi="Book Antiqua"/>
        </w:rPr>
      </w:pPr>
      <w:r>
        <w:rPr>
          <w:rFonts w:ascii="Book Antiqua" w:hAnsi="Book Antiqua"/>
        </w:rPr>
        <w:t>Η μεγαλύτερη αύξηση των εξαγωγών καταγράφηκε στις κατηγορίες: «ορυκτά καύσιμα, λιπαντικά και σχετικά υλικά», «ζωικά και φυτικά έλαια και λίπη» και «ακατέργαστα μη βρώσιμα υλικά (πλην καυσίμων)». Η μεγαλύτερη αύξηση εισαγωγών καταγράφηκε στις κατηγορίες «χημικά και σχετικά προϊόντα», «βιομηχανοποιημένα αγαθά κατηγοριοποιημένα ανά υλικό» και «ορυκτά καύσιμα, λιπαντικά και σχετικά υλικά». Το εμπορικό ισοζύγιο για το α’ ενδεκάμηνο 2011 ήταν αρνητικό κατά BGN</w:t>
      </w:r>
      <w:r w:rsidRPr="00147AD6">
        <w:rPr>
          <w:rFonts w:ascii="Book Antiqua" w:hAnsi="Book Antiqua"/>
        </w:rPr>
        <w:t xml:space="preserve"> </w:t>
      </w:r>
      <w:r>
        <w:rPr>
          <w:rFonts w:ascii="Book Antiqua" w:hAnsi="Book Antiqua"/>
        </w:rPr>
        <w:t>3.551,6</w:t>
      </w:r>
      <w:r w:rsidRPr="00147AD6">
        <w:rPr>
          <w:rFonts w:ascii="Book Antiqua" w:hAnsi="Book Antiqua"/>
        </w:rPr>
        <w:t xml:space="preserve"> </w:t>
      </w:r>
      <w:r>
        <w:rPr>
          <w:rFonts w:ascii="Book Antiqua" w:hAnsi="Book Antiqua"/>
        </w:rPr>
        <w:t>εκατ.</w:t>
      </w:r>
      <w:r w:rsidRPr="00147AD6">
        <w:rPr>
          <w:rFonts w:ascii="Book Antiqua" w:hAnsi="Book Antiqua"/>
        </w:rPr>
        <w:t xml:space="preserve"> (</w:t>
      </w:r>
      <w:r>
        <w:rPr>
          <w:rFonts w:ascii="Book Antiqua" w:hAnsi="Book Antiqua"/>
        </w:rPr>
        <w:t xml:space="preserve">περίπου </w:t>
      </w:r>
      <w:r w:rsidRPr="00147AD6">
        <w:rPr>
          <w:rFonts w:ascii="Book Antiqua" w:hAnsi="Book Antiqua"/>
        </w:rPr>
        <w:t>€</w:t>
      </w:r>
      <w:r>
        <w:rPr>
          <w:rFonts w:ascii="Book Antiqua" w:hAnsi="Book Antiqua"/>
        </w:rPr>
        <w:t>1.800</w:t>
      </w:r>
      <w:r w:rsidRPr="00147AD6">
        <w:rPr>
          <w:rFonts w:ascii="Book Antiqua" w:hAnsi="Book Antiqua"/>
        </w:rPr>
        <w:t xml:space="preserve"> </w:t>
      </w:r>
      <w:r>
        <w:rPr>
          <w:rFonts w:ascii="Book Antiqua" w:hAnsi="Book Antiqua"/>
        </w:rPr>
        <w:t>εκατ.). Σε τιμές FOB</w:t>
      </w:r>
      <w:r w:rsidRPr="00147AD6">
        <w:rPr>
          <w:rFonts w:ascii="Book Antiqua" w:hAnsi="Book Antiqua"/>
        </w:rPr>
        <w:t xml:space="preserve"> </w:t>
      </w:r>
      <w:r>
        <w:rPr>
          <w:rFonts w:ascii="Book Antiqua" w:hAnsi="Book Antiqua"/>
        </w:rPr>
        <w:t>το ισοζύγιο ήταν και πάλι αρνητικό κατά BGN 2.651,1 εκατ.</w:t>
      </w:r>
    </w:p>
    <w:p w:rsidR="00127B9A" w:rsidRDefault="00127B9A" w:rsidP="00127B9A">
      <w:pPr>
        <w:spacing w:line="260" w:lineRule="atLeast"/>
        <w:ind w:firstLine="720"/>
        <w:jc w:val="both"/>
        <w:rPr>
          <w:rFonts w:ascii="Book Antiqua" w:hAnsi="Book Antiqua"/>
        </w:rPr>
      </w:pPr>
    </w:p>
    <w:p w:rsidR="00E767F7" w:rsidRDefault="00E767F7" w:rsidP="00127B9A">
      <w:pPr>
        <w:spacing w:line="260" w:lineRule="atLeast"/>
        <w:jc w:val="center"/>
        <w:rPr>
          <w:rFonts w:ascii="Book Antiqua" w:hAnsi="Book Antiqua"/>
          <w:b/>
          <w:lang w:val="en-US"/>
        </w:rPr>
      </w:pPr>
    </w:p>
    <w:p w:rsidR="00E767F7" w:rsidRDefault="00E767F7" w:rsidP="00127B9A">
      <w:pPr>
        <w:spacing w:line="260" w:lineRule="atLeast"/>
        <w:jc w:val="center"/>
        <w:rPr>
          <w:rFonts w:ascii="Book Antiqua" w:hAnsi="Book Antiqua"/>
          <w:b/>
          <w:lang w:val="en-US"/>
        </w:rPr>
      </w:pPr>
    </w:p>
    <w:p w:rsidR="00127B9A" w:rsidRPr="00127B9A" w:rsidRDefault="00127B9A" w:rsidP="00127B9A">
      <w:pPr>
        <w:jc w:val="both"/>
        <w:rPr>
          <w:b/>
          <w:sz w:val="20"/>
          <w:szCs w:val="20"/>
        </w:rPr>
        <w:sectPr w:rsidR="00127B9A" w:rsidRPr="00127B9A">
          <w:type w:val="continuous"/>
          <w:pgSz w:w="12240" w:h="15840"/>
          <w:pgMar w:top="1440" w:right="1800" w:bottom="1440" w:left="1800" w:header="720" w:footer="720" w:gutter="0"/>
          <w:cols w:num="2" w:space="720"/>
        </w:sectPr>
      </w:pPr>
    </w:p>
    <w:p w:rsidR="00127B9A" w:rsidRDefault="00127B9A" w:rsidP="00127B9A">
      <w:pPr>
        <w:spacing w:after="0" w:line="240" w:lineRule="auto"/>
        <w:jc w:val="both"/>
        <w:rPr>
          <w:rFonts w:ascii="Book Antiqua" w:hAnsi="Book Antiqua"/>
        </w:rPr>
      </w:pPr>
      <w:r>
        <w:rPr>
          <w:rFonts w:ascii="Book Antiqua" w:hAnsi="Book Antiqua"/>
        </w:rPr>
        <w:lastRenderedPageBreak/>
        <w:t xml:space="preserve">Η </w:t>
      </w:r>
      <w:r>
        <w:rPr>
          <w:rFonts w:ascii="Book Antiqua" w:hAnsi="Book Antiqua"/>
          <w:u w:val="single"/>
        </w:rPr>
        <w:t>ανεργία</w:t>
      </w:r>
      <w:r>
        <w:rPr>
          <w:rFonts w:ascii="Book Antiqua" w:hAnsi="Book Antiqua"/>
        </w:rPr>
        <w:t xml:space="preserve"> σημείωσε ελαφρώς</w:t>
      </w:r>
      <w:r>
        <w:rPr>
          <w:rFonts w:ascii="Book Antiqua" w:hAnsi="Book Antiqua"/>
          <w:lang w:val="bg-BG"/>
        </w:rPr>
        <w:t xml:space="preserve"> </w:t>
      </w:r>
      <w:r>
        <w:rPr>
          <w:rFonts w:ascii="Book Antiqua" w:hAnsi="Book Antiqua"/>
        </w:rPr>
        <w:t>ανοδικές τάσεις και διαμορφώθηκε το Δεκέμβριο 2011 στο 10,4% (έναντι 10% το Νοέμβριο). Σε ετήσια βάση το ποσοστό ανεργίας παρέμεινε αμετάβλητο.</w:t>
      </w:r>
    </w:p>
    <w:p w:rsidR="00127B9A" w:rsidRDefault="00127B9A" w:rsidP="00127B9A">
      <w:pPr>
        <w:spacing w:line="260" w:lineRule="atLeast"/>
        <w:ind w:firstLine="720"/>
        <w:jc w:val="both"/>
        <w:rPr>
          <w:rFonts w:ascii="Book Antiqua" w:hAnsi="Book Antiqua"/>
        </w:rPr>
      </w:pPr>
      <w:r>
        <w:rPr>
          <w:rFonts w:ascii="Book Antiqua" w:hAnsi="Book Antiqua" w:cs="Arial"/>
        </w:rPr>
        <w:t xml:space="preserve">Σε </w:t>
      </w:r>
      <w:proofErr w:type="spellStart"/>
      <w:r>
        <w:rPr>
          <w:rFonts w:ascii="Book Antiqua" w:hAnsi="Book Antiqua" w:cs="Arial"/>
        </w:rPr>
        <w:t>ό,τι</w:t>
      </w:r>
      <w:proofErr w:type="spellEnd"/>
      <w:r>
        <w:rPr>
          <w:rFonts w:ascii="Book Antiqua" w:hAnsi="Book Antiqua" w:cs="Arial"/>
        </w:rPr>
        <w:t xml:space="preserve"> αφορά τις εμπορικές ροές με τα κράτη-μέλη της ΕΕ, </w:t>
      </w:r>
      <w:r>
        <w:rPr>
          <w:rFonts w:ascii="Book Antiqua" w:hAnsi="Book Antiqua"/>
        </w:rPr>
        <w:t xml:space="preserve">βάσει πάλι προσωρινών στοιχείων, το </w:t>
      </w:r>
      <w:proofErr w:type="spellStart"/>
      <w:r>
        <w:rPr>
          <w:rFonts w:ascii="Book Antiqua" w:hAnsi="Book Antiqua"/>
        </w:rPr>
        <w:t>α΄</w:t>
      </w:r>
      <w:proofErr w:type="spellEnd"/>
      <w:r>
        <w:rPr>
          <w:rFonts w:ascii="Book Antiqua" w:hAnsi="Book Antiqua"/>
        </w:rPr>
        <w:t xml:space="preserve"> δεκάμηνο 2011 οι βουλγαρικές εξαγωγές αυξήθηκαν κατά 33,8% σε σύγκριση με την αντίστοιχη περίοδο του 2010. Κύριοι εμπορικοί εταίροι της Βουλγαρίας το ως άνω διάστημα αναδείχθηκαν η Γερμανία, η Ιταλία, η Ρουμανία, η Ελλάδα και το Βέλγιο, στις οποίες κατευθύνθηκε το 66,7% των βουλγαρικών εξαγωγών προς κράτη-μέλη της ΕΕ. Αξιόλογη άνοδο, όμως, το ως άνω διάστημα κατέγραψαν και οι βουλγαρικές εισαγωγές (21,6% σε ετήσια βάση) από χώρες εντός ΕΕ. Ειδικά, το Νοέμβριο 2011 οι βουλγαρικές εξαγωγές αυξήθηκαν κατά 28% και οι εισαγωγές ακόμη περισσότερο κατά 30% σε σύγκριση με τον αντίστοιχο μήνα του 2010. </w:t>
      </w:r>
    </w:p>
    <w:p w:rsidR="00127B9A" w:rsidRPr="00E767F7" w:rsidRDefault="00127B9A" w:rsidP="00E767F7">
      <w:pPr>
        <w:spacing w:line="260" w:lineRule="atLeast"/>
        <w:jc w:val="both"/>
        <w:rPr>
          <w:rFonts w:ascii="Book Antiqua" w:hAnsi="Book Antiqua"/>
        </w:rPr>
      </w:pPr>
      <w:r>
        <w:rPr>
          <w:rFonts w:ascii="Book Antiqua" w:hAnsi="Book Antiqua"/>
        </w:rPr>
        <w:t>Η μεγαλύτερη αύξηση των εξαγωγών εντός ΕΕ καταγράφηκε στις κατηγορίες: «ακατέργαστα μη βρώσιμα υλικά (πλην καυσίμων)», «χημικά και σχετικά προϊόντα» και «ζωικά και φυτικά έλαια και λίπη». Η μεγαλύτερη αύξηση εισαγωγών καταγράφηκε στις κατηγορίες «ζωικά και φυτικά έλαια και λίπη» και «ακατέργαστα μη βρώσιμα υλικά (πλην καυσίμων)». Το εμπορικό ισοζύγιο για το α’ δεκάμηνο 2011 ήταν αρνητικό κατά BGN</w:t>
      </w:r>
      <w:r w:rsidRPr="00147AD6">
        <w:rPr>
          <w:rFonts w:ascii="Book Antiqua" w:hAnsi="Book Antiqua"/>
        </w:rPr>
        <w:t xml:space="preserve"> </w:t>
      </w:r>
      <w:r>
        <w:rPr>
          <w:rFonts w:ascii="Book Antiqua" w:hAnsi="Book Antiqua"/>
        </w:rPr>
        <w:t>1.025,8</w:t>
      </w:r>
      <w:r w:rsidRPr="00147AD6">
        <w:rPr>
          <w:rFonts w:ascii="Book Antiqua" w:hAnsi="Book Antiqua"/>
        </w:rPr>
        <w:t xml:space="preserve"> </w:t>
      </w:r>
      <w:r>
        <w:rPr>
          <w:rFonts w:ascii="Book Antiqua" w:hAnsi="Book Antiqua"/>
        </w:rPr>
        <w:t>εκατ. Σε τιμές FOB το ισοζύγιο ήταν θετικό κατά BGN 45,6 εκατ.</w:t>
      </w:r>
    </w:p>
    <w:p w:rsidR="00E767F7" w:rsidRDefault="00E767F7" w:rsidP="00E767F7">
      <w:pPr>
        <w:spacing w:line="260" w:lineRule="atLeast"/>
        <w:jc w:val="both"/>
        <w:rPr>
          <w:rFonts w:ascii="Book Antiqua" w:hAnsi="Book Antiqua"/>
          <w:lang w:val="en-US"/>
        </w:rPr>
      </w:pPr>
    </w:p>
    <w:p w:rsidR="00E767F7" w:rsidRDefault="00E767F7" w:rsidP="00E767F7">
      <w:pPr>
        <w:spacing w:line="260" w:lineRule="atLeast"/>
        <w:jc w:val="both"/>
        <w:rPr>
          <w:rFonts w:ascii="Book Antiqua" w:hAnsi="Book Antiqua"/>
          <w:lang w:val="en-US"/>
        </w:rPr>
      </w:pPr>
    </w:p>
    <w:p w:rsidR="00E767F7" w:rsidRPr="00E767F7" w:rsidRDefault="00E767F7" w:rsidP="00E767F7">
      <w:pPr>
        <w:spacing w:line="260" w:lineRule="atLeast"/>
        <w:jc w:val="both"/>
        <w:rPr>
          <w:rFonts w:ascii="Book Antiqua" w:hAnsi="Book Antiqua"/>
          <w:lang w:val="en-US"/>
        </w:rPr>
      </w:pPr>
    </w:p>
    <w:p w:rsidR="00127B9A" w:rsidRDefault="00127B9A" w:rsidP="00E767F7">
      <w:pPr>
        <w:spacing w:line="260" w:lineRule="atLeast"/>
        <w:rPr>
          <w:rFonts w:ascii="Book Antiqua" w:hAnsi="Book Antiqua"/>
          <w:b/>
          <w:lang w:val="en-US"/>
        </w:rPr>
      </w:pPr>
      <w:r w:rsidRPr="00F36E92">
        <w:rPr>
          <w:rFonts w:ascii="Book Antiqua" w:hAnsi="Book Antiqua"/>
          <w:b/>
        </w:rPr>
        <w:t xml:space="preserve">Ονομαστική αύξηση των βουλγαρικών εξαγωγών προς </w:t>
      </w:r>
      <w:r>
        <w:rPr>
          <w:rFonts w:ascii="Book Antiqua" w:hAnsi="Book Antiqua"/>
          <w:b/>
        </w:rPr>
        <w:t>κράτη-μέλη της ΕΕ</w:t>
      </w:r>
      <w:r w:rsidRPr="00F36E92">
        <w:rPr>
          <w:rFonts w:ascii="Book Antiqua" w:hAnsi="Book Antiqua"/>
          <w:b/>
        </w:rPr>
        <w:t xml:space="preserve"> την περίοδο 2009 – 2011 (σύγκριση με τον αντίστοιχο μήνα του προηγούμενου έτους)</w:t>
      </w:r>
    </w:p>
    <w:p w:rsidR="00E767F7" w:rsidRPr="00E767F7" w:rsidRDefault="00E767F7" w:rsidP="00E767F7">
      <w:pPr>
        <w:spacing w:line="260" w:lineRule="atLeast"/>
        <w:rPr>
          <w:rFonts w:ascii="Book Antiqua" w:hAnsi="Book Antiqua"/>
          <w:lang w:val="en-US"/>
        </w:rPr>
      </w:pPr>
    </w:p>
    <w:p w:rsidR="00E767F7" w:rsidRDefault="00127B9A" w:rsidP="00E767F7">
      <w:pPr>
        <w:tabs>
          <w:tab w:val="left" w:pos="2220"/>
        </w:tabs>
        <w:rPr>
          <w:lang w:val="en-US"/>
        </w:rPr>
      </w:pPr>
      <w:r>
        <w:rPr>
          <w:rFonts w:ascii="Book Antiqua" w:hAnsi="Book Antiqua" w:cs="Arial"/>
          <w:noProof/>
          <w:lang w:eastAsia="el-GR"/>
        </w:rPr>
        <w:drawing>
          <wp:inline distT="0" distB="0" distL="0" distR="0">
            <wp:extent cx="5372100" cy="2381250"/>
            <wp:effectExtent l="1905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5372100" cy="2381250"/>
                    </a:xfrm>
                    <a:prstGeom prst="rect">
                      <a:avLst/>
                    </a:prstGeom>
                    <a:noFill/>
                    <a:ln w="9525">
                      <a:noFill/>
                      <a:miter lim="800000"/>
                      <a:headEnd/>
                      <a:tailEnd/>
                    </a:ln>
                  </pic:spPr>
                </pic:pic>
              </a:graphicData>
            </a:graphic>
          </wp:inline>
        </w:drawing>
      </w:r>
      <w:bookmarkStart w:id="3" w:name="_Toc315701921"/>
    </w:p>
    <w:p w:rsidR="00E767F7" w:rsidRDefault="00E767F7" w:rsidP="00E767F7">
      <w:pPr>
        <w:tabs>
          <w:tab w:val="left" w:pos="2220"/>
        </w:tabs>
        <w:rPr>
          <w:lang w:val="en-US"/>
        </w:rPr>
      </w:pPr>
    </w:p>
    <w:p w:rsidR="00E767F7" w:rsidRPr="00E767F7" w:rsidRDefault="00E767F7" w:rsidP="00E767F7">
      <w:pPr>
        <w:tabs>
          <w:tab w:val="left" w:pos="2220"/>
        </w:tabs>
        <w:rPr>
          <w:lang w:val="en-US"/>
        </w:rPr>
      </w:pPr>
    </w:p>
    <w:p w:rsidR="00E767F7" w:rsidRDefault="00E767F7" w:rsidP="00127B9A">
      <w:pPr>
        <w:outlineLvl w:val="0"/>
        <w:rPr>
          <w:rFonts w:ascii="Century Gothic" w:hAnsi="Century Gothic" w:cs="TimesNewRomanPS-BoldItalicMT"/>
          <w:b/>
          <w:bCs/>
          <w:iCs/>
          <w:color w:val="9BBB59" w:themeColor="accent3"/>
          <w:sz w:val="28"/>
          <w:szCs w:val="28"/>
          <w:lang w:val="en-US"/>
        </w:rPr>
      </w:pPr>
    </w:p>
    <w:p w:rsidR="00127B9A" w:rsidRPr="00C21D1C" w:rsidRDefault="00127B9A" w:rsidP="00127B9A">
      <w:pPr>
        <w:outlineLvl w:val="0"/>
        <w:rPr>
          <w:rFonts w:ascii="Century Gothic" w:hAnsi="Century Gothic" w:cs="TimesNewRomanPS-BoldItalicMT"/>
          <w:b/>
          <w:bCs/>
          <w:iCs/>
          <w:color w:val="9BBB59" w:themeColor="accent3"/>
          <w:sz w:val="28"/>
          <w:szCs w:val="28"/>
        </w:rPr>
      </w:pPr>
      <w:proofErr w:type="gramStart"/>
      <w:r w:rsidRPr="00C21D1C">
        <w:rPr>
          <w:rFonts w:ascii="Century Gothic" w:hAnsi="Century Gothic" w:cs="TimesNewRomanPS-BoldItalicMT"/>
          <w:b/>
          <w:bCs/>
          <w:iCs/>
          <w:color w:val="9BBB59" w:themeColor="accent3"/>
          <w:sz w:val="28"/>
          <w:szCs w:val="28"/>
          <w:lang w:val="en-US"/>
        </w:rPr>
        <w:lastRenderedPageBreak/>
        <w:t>I</w:t>
      </w:r>
      <w:r w:rsidRPr="00C21D1C">
        <w:rPr>
          <w:rFonts w:ascii="Century Gothic" w:hAnsi="Century Gothic" w:cs="TimesNewRomanPS-BoldItalicMT"/>
          <w:b/>
          <w:bCs/>
          <w:iCs/>
          <w:color w:val="9BBB59" w:themeColor="accent3"/>
          <w:sz w:val="28"/>
          <w:szCs w:val="28"/>
        </w:rPr>
        <w:t>Ι.</w:t>
      </w:r>
      <w:proofErr w:type="gramEnd"/>
      <w:r w:rsidRPr="00C21D1C">
        <w:rPr>
          <w:rFonts w:ascii="Century Gothic" w:hAnsi="Century Gothic" w:cs="TimesNewRomanPS-BoldItalicMT"/>
          <w:b/>
          <w:bCs/>
          <w:iCs/>
          <w:color w:val="9BBB59" w:themeColor="accent3"/>
          <w:sz w:val="28"/>
          <w:szCs w:val="28"/>
        </w:rPr>
        <w:t xml:space="preserve"> ΠΟΡΕΙΑ ΔΙΜΕΡΩΝ ΟΙΚΟΝΟΜΙΚΩΝ ΣΧΕΣΕΩΝ</w:t>
      </w:r>
      <w:bookmarkEnd w:id="3"/>
      <w:r w:rsidRPr="00C21D1C">
        <w:rPr>
          <w:rFonts w:ascii="Century Gothic" w:hAnsi="Century Gothic" w:cs="TimesNewRomanPS-BoldItalicMT"/>
          <w:b/>
          <w:bCs/>
          <w:iCs/>
          <w:color w:val="9BBB59" w:themeColor="accent3"/>
          <w:sz w:val="28"/>
          <w:szCs w:val="28"/>
        </w:rPr>
        <w:t xml:space="preserve">  </w:t>
      </w:r>
    </w:p>
    <w:p w:rsidR="00127B9A" w:rsidRDefault="00127B9A" w:rsidP="00127B9A">
      <w:pPr>
        <w:ind w:firstLine="720"/>
        <w:jc w:val="both"/>
        <w:rPr>
          <w:rFonts w:ascii="Book Antiqua" w:hAnsi="Book Antiqua" w:cs="Tahoma"/>
        </w:rPr>
      </w:pPr>
    </w:p>
    <w:p w:rsidR="00127B9A" w:rsidRPr="003F16CE" w:rsidRDefault="00127B9A" w:rsidP="00127B9A">
      <w:pPr>
        <w:ind w:firstLine="720"/>
        <w:jc w:val="both"/>
        <w:rPr>
          <w:rFonts w:ascii="Book Antiqua" w:hAnsi="Book Antiqua" w:cs="Tahoma"/>
        </w:rPr>
      </w:pPr>
      <w:r w:rsidRPr="003F16CE">
        <w:rPr>
          <w:rFonts w:ascii="Book Antiqua" w:hAnsi="Book Antiqua" w:cs="Tahoma"/>
        </w:rPr>
        <w:t>Η συνέχιση των θετικών ρυθμών αύξησης των ελληνικών εξαγωγών στην Βουλγαρία αλλά και οι χαμηλές επιδόσεις των ελληνικών επιχειρήσεων  στον επενδυτικό τομέα στη χώρα συνοψίζουν τις κυριότερες εξελίξεις στις διμερείς σχέσεις κατά το πρώτο εννεάμηνο του 2011</w:t>
      </w:r>
      <w:r>
        <w:rPr>
          <w:rFonts w:ascii="Book Antiqua" w:hAnsi="Book Antiqua" w:cs="Tahoma"/>
        </w:rPr>
        <w:t xml:space="preserve"> </w:t>
      </w:r>
      <w:r w:rsidRPr="003F16CE">
        <w:rPr>
          <w:rFonts w:ascii="Book Antiqua" w:hAnsi="Book Antiqua" w:cs="Tahoma"/>
        </w:rPr>
        <w:t xml:space="preserve">. Ειδικότερα : </w:t>
      </w:r>
    </w:p>
    <w:p w:rsidR="00127B9A" w:rsidRPr="003F16CE" w:rsidRDefault="00127B9A" w:rsidP="00127B9A">
      <w:pPr>
        <w:ind w:firstLine="720"/>
        <w:jc w:val="both"/>
        <w:rPr>
          <w:rFonts w:ascii="Book Antiqua" w:hAnsi="Book Antiqua" w:cs="Tahoma"/>
        </w:rPr>
      </w:pPr>
      <w:r w:rsidRPr="003F16CE">
        <w:rPr>
          <w:rFonts w:ascii="Book Antiqua" w:hAnsi="Book Antiqua" w:cs="Tahoma"/>
        </w:rPr>
        <w:t>Σύμφωνα με προσωρινά στοιχεία  της ΕΛΣΤΑΤ, κατά το πρώτο 9μηνο του 2011, ο όγκος του διμερούς εμπορίου, αξίας €1.762,7 εκατ. παρουσίασε άνοδο κατά 19,8% σε σύγκριση με την αντίστοιχη χρονική περίοδο του 2010 (+6,6% σε σχέση με το 2009). Οι ελληνικές εξαγωγές προς την  Βουλγαρία  κατέγραψαν  σημαντική  αύξηση  κατά  20,8%, στα   € 918,4 εκατ., έναντι αύξησης  4,1% κατά την ίδια περίοδο του 2010. Ανοδικά επίσης  κινήθηκαν, κατά το ανωτέρω χρονικό διάστημα, και  οι βουλγαρικές εξαγωγές προς την Ελλάδα (+18,7% στα  €844,3 εκατ.), έναντι αύξησης 9,6% του περασμένου έτους. Περαιτέρω διεύρυνση κατά €24,7 εκατ. παρουσίασε το εμπορικό πλεόνασμα της Ελλάδας κα</w:t>
      </w:r>
      <w:r>
        <w:rPr>
          <w:rFonts w:ascii="Book Antiqua" w:hAnsi="Book Antiqua" w:cs="Tahoma"/>
        </w:rPr>
        <w:t>ι διαμορφώθηκε στα €74,1 εκατ.</w:t>
      </w:r>
    </w:p>
    <w:p w:rsidR="00127B9A" w:rsidRPr="003F16CE" w:rsidRDefault="00127B9A" w:rsidP="00127B9A">
      <w:pPr>
        <w:ind w:firstLine="720"/>
        <w:jc w:val="both"/>
        <w:rPr>
          <w:rFonts w:ascii="Book Antiqua" w:hAnsi="Book Antiqua" w:cs="Tahoma"/>
        </w:rPr>
      </w:pPr>
      <w:r w:rsidRPr="003F16CE">
        <w:rPr>
          <w:rFonts w:ascii="Book Antiqua" w:hAnsi="Book Antiqua" w:cs="Tahoma"/>
        </w:rPr>
        <w:t>Σ</w:t>
      </w:r>
      <w:r>
        <w:rPr>
          <w:rFonts w:ascii="Book Antiqua" w:hAnsi="Book Antiqua" w:cs="Tahoma"/>
        </w:rPr>
        <w:t>ε ότι αφορά στις πορεία των ελληνικών επενδύσεων, σ</w:t>
      </w:r>
      <w:r w:rsidRPr="003F16CE">
        <w:rPr>
          <w:rFonts w:ascii="Book Antiqua" w:hAnsi="Book Antiqua" w:cs="Tahoma"/>
        </w:rPr>
        <w:t xml:space="preserve">ύμφωνα με προσωρινά στοιχεία για το 2011 της Εθνικής Τράπεζας Βουλγαρίας (ΒΝΒ), κατά την περίοδο Ιανουαρίου-Σεπτεμβρίου  σημειώθηκαν καθαρές εκροές ελληνικών κεφαλαίων αξίας €18,3 εκατ., οι οποίες αναλύονται σε εκροές ύψους €53,9 εκατ. του </w:t>
      </w:r>
      <w:proofErr w:type="spellStart"/>
      <w:r w:rsidRPr="003F16CE">
        <w:rPr>
          <w:rFonts w:ascii="Book Antiqua" w:hAnsi="Book Antiqua" w:cs="Tahoma"/>
        </w:rPr>
        <w:t>α΄</w:t>
      </w:r>
      <w:proofErr w:type="spellEnd"/>
      <w:r w:rsidRPr="003F16CE">
        <w:rPr>
          <w:rFonts w:ascii="Book Antiqua" w:hAnsi="Book Antiqua" w:cs="Tahoma"/>
        </w:rPr>
        <w:t xml:space="preserve"> τριμήνου (έναντι εισροών €13,7 εκατ. το 2010 και €45,2 εκατ. το 2009), σε εισροές αξίας €23,6 εκατ., κατά το </w:t>
      </w:r>
      <w:proofErr w:type="spellStart"/>
      <w:r w:rsidRPr="003F16CE">
        <w:rPr>
          <w:rFonts w:ascii="Book Antiqua" w:hAnsi="Book Antiqua" w:cs="Tahoma"/>
        </w:rPr>
        <w:t>β΄</w:t>
      </w:r>
      <w:proofErr w:type="spellEnd"/>
      <w:r w:rsidRPr="003F16CE">
        <w:rPr>
          <w:rFonts w:ascii="Book Antiqua" w:hAnsi="Book Antiqua" w:cs="Tahoma"/>
        </w:rPr>
        <w:t xml:space="preserve"> τρίμηνο (έναντι εισροών €35,7 εκατ. και €99,2 εκατ. το 2010 και 2009, αντίστοιχα) και εισροές αξίας €12,0 εκατ. (έναντι εισροών €48, 2 εκατ. και εκροών €41,8 εκατ. κατά το 9μηνο 2010 και 2009, αντίστοιχα)</w:t>
      </w:r>
    </w:p>
    <w:p w:rsidR="00127B9A" w:rsidRDefault="00127B9A" w:rsidP="00127B9A">
      <w:pPr>
        <w:ind w:firstLine="720"/>
        <w:jc w:val="both"/>
        <w:rPr>
          <w:rFonts w:ascii="Book Antiqua" w:hAnsi="Book Antiqua" w:cs="Tahoma"/>
        </w:rPr>
      </w:pPr>
      <w:r w:rsidRPr="003F16CE">
        <w:rPr>
          <w:rFonts w:ascii="Book Antiqua" w:hAnsi="Book Antiqua" w:cs="Tahoma"/>
        </w:rPr>
        <w:t xml:space="preserve">Η μεγαλύτερη ελληνική επένδυση της ανωτέρω περιόδου ήταν η δημιουργία του πρώτου καταστήματος ΙΚΕΑ, στη Σόφια, που ελέγχει και διαχειρίζεται ο όμιλος </w:t>
      </w:r>
      <w:proofErr w:type="spellStart"/>
      <w:r w:rsidRPr="003F16CE">
        <w:rPr>
          <w:rFonts w:ascii="Book Antiqua" w:hAnsi="Book Antiqua" w:cs="Tahoma"/>
        </w:rPr>
        <w:t>Φουρλή</w:t>
      </w:r>
      <w:proofErr w:type="spellEnd"/>
      <w:r w:rsidRPr="003F16CE">
        <w:rPr>
          <w:rFonts w:ascii="Book Antiqua" w:hAnsi="Book Antiqua" w:cs="Tahoma"/>
        </w:rPr>
        <w:t xml:space="preserve"> και η οποία μάλιστα βραβεύτηκε ως η «επένδυση του έτους»  στα πλαίσια των «</w:t>
      </w:r>
      <w:proofErr w:type="spellStart"/>
      <w:r w:rsidRPr="003F16CE">
        <w:rPr>
          <w:rFonts w:ascii="Book Antiqua" w:hAnsi="Book Antiqua" w:cs="Tahoma"/>
        </w:rPr>
        <w:t>Forbes</w:t>
      </w:r>
      <w:proofErr w:type="spellEnd"/>
      <w:r w:rsidRPr="003F16CE">
        <w:rPr>
          <w:rFonts w:ascii="Book Antiqua" w:hAnsi="Book Antiqua" w:cs="Tahoma"/>
        </w:rPr>
        <w:t xml:space="preserve"> </w:t>
      </w:r>
      <w:proofErr w:type="spellStart"/>
      <w:r w:rsidRPr="003F16CE">
        <w:rPr>
          <w:rFonts w:ascii="Book Antiqua" w:hAnsi="Book Antiqua" w:cs="Tahoma"/>
        </w:rPr>
        <w:t>Business</w:t>
      </w:r>
      <w:proofErr w:type="spellEnd"/>
      <w:r w:rsidRPr="003F16CE">
        <w:rPr>
          <w:rFonts w:ascii="Book Antiqua" w:hAnsi="Book Antiqua" w:cs="Tahoma"/>
        </w:rPr>
        <w:t xml:space="preserve"> </w:t>
      </w:r>
      <w:proofErr w:type="spellStart"/>
      <w:r w:rsidRPr="003F16CE">
        <w:rPr>
          <w:rFonts w:ascii="Book Antiqua" w:hAnsi="Book Antiqua" w:cs="Tahoma"/>
        </w:rPr>
        <w:t>Awards</w:t>
      </w:r>
      <w:proofErr w:type="spellEnd"/>
      <w:r w:rsidRPr="003F16CE">
        <w:rPr>
          <w:rFonts w:ascii="Book Antiqua" w:hAnsi="Book Antiqua" w:cs="Tahoma"/>
        </w:rPr>
        <w:t>» στη Βουλγαρία.</w:t>
      </w:r>
      <w:r>
        <w:rPr>
          <w:rFonts w:ascii="Book Antiqua" w:hAnsi="Book Antiqua" w:cs="Tahoma"/>
        </w:rPr>
        <w:t xml:space="preserve"> </w:t>
      </w:r>
      <w:r w:rsidRPr="003F16CE">
        <w:rPr>
          <w:rFonts w:ascii="Book Antiqua" w:hAnsi="Book Antiqua" w:cs="Tahoma"/>
        </w:rPr>
        <w:t xml:space="preserve">Σημειώνεται επίσης ότι, στην γενική κατάταξη των ξένων επενδυτών στην Βουλγαρία, η Ελλάδα διατηρεί την τρίτη θέση, μετά την Αυστρία και Ολλανδία, με συνολικές επενδύσεις ύψους €3.100,5 εκατ. </w:t>
      </w:r>
    </w:p>
    <w:p w:rsidR="00127B9A" w:rsidRDefault="00127B9A" w:rsidP="00127B9A">
      <w:pPr>
        <w:spacing w:line="360" w:lineRule="auto"/>
        <w:jc w:val="center"/>
        <w:rPr>
          <w:rFonts w:ascii="Book Antiqua" w:hAnsi="Book Antiqua" w:cs="Tahoma"/>
          <w:b/>
          <w:lang w:val="en-US"/>
        </w:rPr>
      </w:pPr>
    </w:p>
    <w:p w:rsidR="00E767F7" w:rsidRDefault="00E767F7" w:rsidP="00127B9A">
      <w:pPr>
        <w:spacing w:line="360" w:lineRule="auto"/>
        <w:jc w:val="center"/>
        <w:rPr>
          <w:rFonts w:ascii="Book Antiqua" w:hAnsi="Book Antiqua" w:cs="Tahoma"/>
          <w:b/>
          <w:lang w:val="en-US"/>
        </w:rPr>
      </w:pPr>
    </w:p>
    <w:p w:rsidR="00E767F7" w:rsidRDefault="00E767F7" w:rsidP="00127B9A">
      <w:pPr>
        <w:spacing w:line="360" w:lineRule="auto"/>
        <w:jc w:val="center"/>
        <w:rPr>
          <w:rFonts w:ascii="Book Antiqua" w:hAnsi="Book Antiqua" w:cs="Tahoma"/>
          <w:b/>
          <w:lang w:val="en-US"/>
        </w:rPr>
      </w:pPr>
    </w:p>
    <w:p w:rsidR="00E767F7" w:rsidRDefault="00E767F7" w:rsidP="00127B9A">
      <w:pPr>
        <w:spacing w:line="360" w:lineRule="auto"/>
        <w:jc w:val="center"/>
        <w:rPr>
          <w:rFonts w:ascii="Book Antiqua" w:hAnsi="Book Antiqua" w:cs="Tahoma"/>
          <w:b/>
          <w:lang w:val="en-US"/>
        </w:rPr>
      </w:pPr>
    </w:p>
    <w:p w:rsidR="00E767F7" w:rsidRDefault="00E767F7" w:rsidP="00127B9A">
      <w:pPr>
        <w:spacing w:line="360" w:lineRule="auto"/>
        <w:jc w:val="center"/>
        <w:rPr>
          <w:rFonts w:ascii="Book Antiqua" w:hAnsi="Book Antiqua" w:cs="Tahoma"/>
          <w:b/>
          <w:lang w:val="en-US"/>
        </w:rPr>
      </w:pPr>
    </w:p>
    <w:p w:rsidR="00E767F7" w:rsidRDefault="00E767F7" w:rsidP="00127B9A">
      <w:pPr>
        <w:spacing w:line="360" w:lineRule="auto"/>
        <w:jc w:val="center"/>
        <w:rPr>
          <w:rFonts w:ascii="Book Antiqua" w:hAnsi="Book Antiqua" w:cs="Tahoma"/>
          <w:b/>
          <w:lang w:val="en-US"/>
        </w:rPr>
      </w:pPr>
    </w:p>
    <w:p w:rsidR="00E767F7" w:rsidRPr="00E767F7" w:rsidRDefault="00E767F7" w:rsidP="00127B9A">
      <w:pPr>
        <w:spacing w:line="360" w:lineRule="auto"/>
        <w:jc w:val="center"/>
        <w:rPr>
          <w:rFonts w:ascii="Book Antiqua" w:hAnsi="Book Antiqua" w:cs="Tahoma"/>
          <w:b/>
          <w:lang w:val="en-US"/>
        </w:rPr>
      </w:pPr>
    </w:p>
    <w:p w:rsidR="00127B9A" w:rsidRPr="00C21D1C" w:rsidRDefault="00127B9A" w:rsidP="00127B9A">
      <w:pPr>
        <w:outlineLvl w:val="0"/>
        <w:rPr>
          <w:rFonts w:ascii="Century Gothic" w:hAnsi="Century Gothic" w:cs="TimesNewRomanPS-BoldItalicMT"/>
          <w:b/>
          <w:bCs/>
          <w:iCs/>
          <w:color w:val="9BBB59" w:themeColor="accent3"/>
          <w:sz w:val="28"/>
          <w:szCs w:val="28"/>
        </w:rPr>
      </w:pPr>
      <w:bookmarkStart w:id="4" w:name="_Toc315701922"/>
      <w:proofErr w:type="gramStart"/>
      <w:r w:rsidRPr="00C21D1C">
        <w:rPr>
          <w:rFonts w:ascii="Century Gothic" w:hAnsi="Century Gothic" w:cs="TimesNewRomanPS-BoldItalicMT"/>
          <w:b/>
          <w:bCs/>
          <w:iCs/>
          <w:color w:val="9BBB59" w:themeColor="accent3"/>
          <w:sz w:val="28"/>
          <w:szCs w:val="28"/>
          <w:lang w:val="en-US"/>
        </w:rPr>
        <w:t>I</w:t>
      </w:r>
      <w:r w:rsidRPr="00C21D1C">
        <w:rPr>
          <w:rFonts w:ascii="Century Gothic" w:hAnsi="Century Gothic" w:cs="TimesNewRomanPS-BoldItalicMT"/>
          <w:b/>
          <w:bCs/>
          <w:iCs/>
          <w:color w:val="9BBB59" w:themeColor="accent3"/>
          <w:sz w:val="28"/>
          <w:szCs w:val="28"/>
        </w:rPr>
        <w:t>Ι</w:t>
      </w:r>
      <w:r w:rsidRPr="00C21D1C">
        <w:rPr>
          <w:rFonts w:ascii="Century Gothic" w:hAnsi="Century Gothic" w:cs="TimesNewRomanPS-BoldItalicMT"/>
          <w:b/>
          <w:bCs/>
          <w:iCs/>
          <w:color w:val="9BBB59" w:themeColor="accent3"/>
          <w:sz w:val="28"/>
          <w:szCs w:val="28"/>
          <w:lang w:val="en-US"/>
        </w:rPr>
        <w:t>I</w:t>
      </w:r>
      <w:r w:rsidRPr="00C21D1C">
        <w:rPr>
          <w:rFonts w:ascii="Century Gothic" w:hAnsi="Century Gothic" w:cs="TimesNewRomanPS-BoldItalicMT"/>
          <w:b/>
          <w:bCs/>
          <w:iCs/>
          <w:color w:val="9BBB59" w:themeColor="accent3"/>
          <w:sz w:val="28"/>
          <w:szCs w:val="28"/>
        </w:rPr>
        <w:t>.</w:t>
      </w:r>
      <w:proofErr w:type="gramEnd"/>
      <w:r w:rsidRPr="00C21D1C">
        <w:rPr>
          <w:rFonts w:ascii="Century Gothic" w:hAnsi="Century Gothic" w:cs="TimesNewRomanPS-BoldItalicMT"/>
          <w:b/>
          <w:bCs/>
          <w:iCs/>
          <w:color w:val="9BBB59" w:themeColor="accent3"/>
          <w:sz w:val="28"/>
          <w:szCs w:val="28"/>
        </w:rPr>
        <w:t xml:space="preserve"> ΔΙΕΘΝΕΙΣ ΧΡΗΜΑΤΟΔΟΤΗΣΕΙΣ</w:t>
      </w:r>
      <w:bookmarkEnd w:id="4"/>
    </w:p>
    <w:p w:rsidR="00127B9A" w:rsidRPr="00C21D1C" w:rsidRDefault="00127B9A" w:rsidP="00127B9A">
      <w:pPr>
        <w:spacing w:line="360" w:lineRule="auto"/>
        <w:jc w:val="center"/>
        <w:rPr>
          <w:rFonts w:ascii="Book Antiqua" w:hAnsi="Book Antiqua"/>
          <w:color w:val="9BBB59" w:themeColor="accent3"/>
        </w:rPr>
      </w:pPr>
    </w:p>
    <w:p w:rsidR="00127B9A" w:rsidRPr="008D1910" w:rsidRDefault="00127B9A" w:rsidP="00127B9A">
      <w:pPr>
        <w:pBdr>
          <w:top w:val="single" w:sz="4" w:space="1" w:color="000000"/>
          <w:left w:val="single" w:sz="4" w:space="4" w:color="000000"/>
          <w:bottom w:val="single" w:sz="4" w:space="1" w:color="000000"/>
          <w:right w:val="single" w:sz="4" w:space="4" w:color="000000"/>
        </w:pBdr>
        <w:shd w:val="clear" w:color="auto" w:fill="FFCC99"/>
        <w:jc w:val="both"/>
        <w:outlineLvl w:val="2"/>
        <w:rPr>
          <w:rFonts w:ascii="Book Antiqua" w:hAnsi="Book Antiqua"/>
          <w:b/>
          <w:color w:val="000000"/>
        </w:rPr>
      </w:pPr>
      <w:bookmarkStart w:id="5" w:name="_Toc315701923"/>
      <w:r>
        <w:rPr>
          <w:rFonts w:ascii="Book Antiqua" w:hAnsi="Book Antiqua"/>
          <w:b/>
          <w:color w:val="000000"/>
        </w:rPr>
        <w:t xml:space="preserve"> </w:t>
      </w:r>
      <w:r w:rsidRPr="008D1910">
        <w:rPr>
          <w:rFonts w:ascii="Book Antiqua" w:hAnsi="Book Antiqua" w:cs="All Times New Roman"/>
          <w:b/>
        </w:rPr>
        <w:t>Υπογραφή Μνημονίων Κατανόησης μεταξύ Βουλγαρίας, Ευρωπαϊκής Τράπεζας Επενδύσεων και Παγκόσμιας Τράπεζας</w:t>
      </w:r>
      <w:bookmarkEnd w:id="5"/>
      <w:r w:rsidRPr="008D1910">
        <w:rPr>
          <w:rFonts w:ascii="Book Antiqua" w:hAnsi="Book Antiqua" w:cs="All Times New Roman"/>
          <w:b/>
        </w:rPr>
        <w:t xml:space="preserve"> </w:t>
      </w:r>
    </w:p>
    <w:p w:rsidR="00127B9A" w:rsidRPr="008D1910" w:rsidRDefault="00127B9A" w:rsidP="00127B9A">
      <w:pPr>
        <w:ind w:firstLine="720"/>
        <w:jc w:val="both"/>
        <w:rPr>
          <w:rFonts w:ascii="Book Antiqua" w:hAnsi="Book Antiqua" w:cs="All Times New Roman"/>
        </w:rPr>
      </w:pPr>
      <w:r w:rsidRPr="008D1910">
        <w:rPr>
          <w:rFonts w:ascii="Book Antiqua" w:hAnsi="Book Antiqua" w:cs="All Times New Roman"/>
        </w:rPr>
        <w:t xml:space="preserve">H βουλγαρική κυβέρνηση υπέγραψε (Σόφια, 22.01.2012) δύο Μνημόνια Κατανόησης με την Ευρωπαϊκή Τράπεζα Επενδύσεων (ΕΤΕ) και την Παγκόσμια Τράπεζα (ΠΤ), βάσει των οποίων οι δύο οργανισμοί θα προσφέρουν στη Βουλγαρία υπηρεσίες τεχνικής υποστήριξης για την υλοποίηση </w:t>
      </w:r>
      <w:proofErr w:type="spellStart"/>
      <w:r w:rsidRPr="008D1910">
        <w:rPr>
          <w:rFonts w:ascii="Book Antiqua" w:hAnsi="Book Antiqua" w:cs="All Times New Roman"/>
        </w:rPr>
        <w:t>projects</w:t>
      </w:r>
      <w:proofErr w:type="spellEnd"/>
      <w:r w:rsidRPr="008D1910">
        <w:rPr>
          <w:rFonts w:ascii="Book Antiqua" w:hAnsi="Book Antiqua" w:cs="All Times New Roman"/>
        </w:rPr>
        <w:t xml:space="preserve"> σε τομείς που προσδιορίζονται στα ως άνω Μνημόνια. Σύμφωνα με τη σχετική ανακοίνωση τύπου του βουλγαρικού </w:t>
      </w:r>
      <w:proofErr w:type="spellStart"/>
      <w:r w:rsidRPr="008D1910">
        <w:rPr>
          <w:rFonts w:ascii="Book Antiqua" w:hAnsi="Book Antiqua" w:cs="All Times New Roman"/>
        </w:rPr>
        <w:t>πουργικού</w:t>
      </w:r>
      <w:proofErr w:type="spellEnd"/>
      <w:r w:rsidRPr="008D1910">
        <w:rPr>
          <w:rFonts w:ascii="Book Antiqua" w:hAnsi="Book Antiqua" w:cs="All Times New Roman"/>
        </w:rPr>
        <w:t xml:space="preserve"> Συμβουλίου, η παροχή συμβουλευτικών υπηρεσιών από την ΠΤ και την ΕΤΕ θεωρείται καίριας σημασίας για τη χώρα, δεδομένου του εύρους της τεχνογνωσίας των δύο διεθνών οργανισμών. </w:t>
      </w:r>
    </w:p>
    <w:p w:rsidR="00127B9A" w:rsidRPr="008D1910" w:rsidRDefault="00127B9A" w:rsidP="00127B9A">
      <w:pPr>
        <w:ind w:firstLine="720"/>
        <w:jc w:val="both"/>
        <w:rPr>
          <w:rFonts w:ascii="Book Antiqua" w:hAnsi="Book Antiqua" w:cs="All Times New Roman"/>
        </w:rPr>
      </w:pPr>
      <w:r w:rsidRPr="008D1910">
        <w:rPr>
          <w:rFonts w:ascii="Book Antiqua" w:hAnsi="Book Antiqua" w:cs="All Times New Roman"/>
        </w:rPr>
        <w:t xml:space="preserve">Στην τελετή υπογραφής παρέστησαν Πρέσβεις χωρών-μελών της ΕΕ στη Βουλγαρία και Βούλγαροι Υπουργοί με αρμοδιότητα την αξιοποίηση πόρων από τα διαρθρωτικά ταμεία. Τα Μνημόνια υπογράφηκαν από το Υπουργό με αρμοδιότητα τη Διαχείριση Ευρωπαϊκών Πόρων, κ. </w:t>
      </w:r>
      <w:proofErr w:type="spellStart"/>
      <w:r w:rsidRPr="008D1910">
        <w:rPr>
          <w:rFonts w:ascii="Book Antiqua" w:hAnsi="Book Antiqua" w:cs="All Times New Roman"/>
        </w:rPr>
        <w:t>Tomislav</w:t>
      </w:r>
      <w:proofErr w:type="spellEnd"/>
      <w:r w:rsidRPr="008D1910">
        <w:rPr>
          <w:rFonts w:ascii="Book Antiqua" w:hAnsi="Book Antiqua" w:cs="All Times New Roman"/>
        </w:rPr>
        <w:t xml:space="preserve"> </w:t>
      </w:r>
      <w:proofErr w:type="spellStart"/>
      <w:r w:rsidRPr="008D1910">
        <w:rPr>
          <w:rFonts w:ascii="Book Antiqua" w:hAnsi="Book Antiqua" w:cs="All Times New Roman"/>
        </w:rPr>
        <w:t>Donchev</w:t>
      </w:r>
      <w:proofErr w:type="spellEnd"/>
      <w:r w:rsidRPr="008D1910">
        <w:rPr>
          <w:rFonts w:ascii="Book Antiqua" w:hAnsi="Book Antiqua" w:cs="All Times New Roman"/>
        </w:rPr>
        <w:t xml:space="preserve">, ενώ από πλευράς ΠΤ από τον κ. </w:t>
      </w:r>
      <w:proofErr w:type="spellStart"/>
      <w:r w:rsidRPr="008D1910">
        <w:rPr>
          <w:rFonts w:ascii="Book Antiqua" w:hAnsi="Book Antiqua" w:cs="All Times New Roman"/>
        </w:rPr>
        <w:t>Philippe</w:t>
      </w:r>
      <w:proofErr w:type="spellEnd"/>
      <w:r w:rsidRPr="008D1910">
        <w:rPr>
          <w:rFonts w:ascii="Book Antiqua" w:hAnsi="Book Antiqua" w:cs="All Times New Roman"/>
        </w:rPr>
        <w:t xml:space="preserve"> </w:t>
      </w:r>
      <w:proofErr w:type="spellStart"/>
      <w:r w:rsidRPr="008D1910">
        <w:rPr>
          <w:rFonts w:ascii="Book Antiqua" w:hAnsi="Book Antiqua" w:cs="All Times New Roman"/>
        </w:rPr>
        <w:t>Le</w:t>
      </w:r>
      <w:proofErr w:type="spellEnd"/>
      <w:r w:rsidRPr="008D1910">
        <w:rPr>
          <w:rFonts w:ascii="Book Antiqua" w:hAnsi="Book Antiqua" w:cs="All Times New Roman"/>
        </w:rPr>
        <w:t xml:space="preserve"> </w:t>
      </w:r>
      <w:proofErr w:type="spellStart"/>
      <w:r w:rsidRPr="008D1910">
        <w:rPr>
          <w:rFonts w:ascii="Book Antiqua" w:hAnsi="Book Antiqua" w:cs="All Times New Roman"/>
        </w:rPr>
        <w:t>Houerou</w:t>
      </w:r>
      <w:proofErr w:type="spellEnd"/>
      <w:r w:rsidRPr="008D1910">
        <w:rPr>
          <w:rFonts w:ascii="Book Antiqua" w:hAnsi="Book Antiqua" w:cs="All Times New Roman"/>
        </w:rPr>
        <w:t xml:space="preserve">, Αντιπρόεδρο για την Ευρώπη και την Κεντρική Ασία και από πλευράς ΕΤΕ από τον κ. </w:t>
      </w:r>
      <w:proofErr w:type="spellStart"/>
      <w:r w:rsidRPr="008D1910">
        <w:rPr>
          <w:rFonts w:ascii="Book Antiqua" w:hAnsi="Book Antiqua" w:cs="All Times New Roman"/>
        </w:rPr>
        <w:t>Wilhelm</w:t>
      </w:r>
      <w:proofErr w:type="spellEnd"/>
      <w:r w:rsidRPr="008D1910">
        <w:rPr>
          <w:rFonts w:ascii="Book Antiqua" w:hAnsi="Book Antiqua" w:cs="All Times New Roman"/>
        </w:rPr>
        <w:t xml:space="preserve"> </w:t>
      </w:r>
      <w:proofErr w:type="spellStart"/>
      <w:r w:rsidRPr="008D1910">
        <w:rPr>
          <w:rFonts w:ascii="Book Antiqua" w:hAnsi="Book Antiqua" w:cs="All Times New Roman"/>
        </w:rPr>
        <w:t>Molterer</w:t>
      </w:r>
      <w:proofErr w:type="spellEnd"/>
      <w:r w:rsidRPr="008D1910">
        <w:rPr>
          <w:rFonts w:ascii="Book Antiqua" w:hAnsi="Book Antiqua" w:cs="All Times New Roman"/>
        </w:rPr>
        <w:t xml:space="preserve">, </w:t>
      </w:r>
      <w:proofErr w:type="spellStart"/>
      <w:r w:rsidRPr="008D1910">
        <w:rPr>
          <w:rFonts w:ascii="Book Antiqua" w:hAnsi="Book Antiqua" w:cs="All Times New Roman"/>
        </w:rPr>
        <w:t>Αντιπρόεδρο.Σύμφωνα</w:t>
      </w:r>
      <w:proofErr w:type="spellEnd"/>
      <w:r w:rsidRPr="008D1910">
        <w:rPr>
          <w:rFonts w:ascii="Book Antiqua" w:hAnsi="Book Antiqua" w:cs="All Times New Roman"/>
        </w:rPr>
        <w:t xml:space="preserve"> με τον κ. P. </w:t>
      </w:r>
      <w:proofErr w:type="spellStart"/>
      <w:r w:rsidRPr="008D1910">
        <w:rPr>
          <w:rFonts w:ascii="Book Antiqua" w:hAnsi="Book Antiqua" w:cs="All Times New Roman"/>
        </w:rPr>
        <w:t>Le</w:t>
      </w:r>
      <w:proofErr w:type="spellEnd"/>
      <w:r w:rsidRPr="008D1910">
        <w:rPr>
          <w:rFonts w:ascii="Book Antiqua" w:hAnsi="Book Antiqua" w:cs="All Times New Roman"/>
        </w:rPr>
        <w:t xml:space="preserve"> </w:t>
      </w:r>
      <w:proofErr w:type="spellStart"/>
      <w:r w:rsidRPr="008D1910">
        <w:rPr>
          <w:rFonts w:ascii="Book Antiqua" w:hAnsi="Book Antiqua" w:cs="All Times New Roman"/>
        </w:rPr>
        <w:t>Houerou</w:t>
      </w:r>
      <w:proofErr w:type="spellEnd"/>
      <w:r w:rsidRPr="008D1910">
        <w:rPr>
          <w:rFonts w:ascii="Book Antiqua" w:hAnsi="Book Antiqua" w:cs="All Times New Roman"/>
        </w:rPr>
        <w:t xml:space="preserve"> (ΠΤ), η σύναψη του Μνημονίου σηματοδοτεί την απαρχή μίας νέας σχέσης συνεργασίας μεταξύ της Βουλγαρίας και της ΠΤ που θα εστιάζει στην ανταγωνιστικότητα, στην ανάπτυξη και στη σύγκλιση με την ΕΕ, θα αποτελέσει δε πρότυπο καλής πρακτικής και για άλλα κράτη στην περιοχή. Με τη σειρά του ο κ. W. </w:t>
      </w:r>
      <w:proofErr w:type="spellStart"/>
      <w:r w:rsidRPr="008D1910">
        <w:rPr>
          <w:rFonts w:ascii="Book Antiqua" w:hAnsi="Book Antiqua" w:cs="All Times New Roman"/>
        </w:rPr>
        <w:t>Molterer</w:t>
      </w:r>
      <w:proofErr w:type="spellEnd"/>
      <w:r w:rsidRPr="008D1910">
        <w:rPr>
          <w:rFonts w:ascii="Book Antiqua" w:hAnsi="Book Antiqua" w:cs="All Times New Roman"/>
        </w:rPr>
        <w:t xml:space="preserve"> (ΕΤΕ) υπογράμμισε την επιτυχή συνεργασία της ΕΤΕ με τη Βουλγαρία από το 1991 με δάνεια που υπερέβησαν τα 3,2 δις ευρώ.  Σημειώνεται  επίσης ότι, σύμφωνα με τον κ. </w:t>
      </w:r>
      <w:proofErr w:type="spellStart"/>
      <w:r w:rsidRPr="008D1910">
        <w:rPr>
          <w:rFonts w:ascii="Book Antiqua" w:hAnsi="Book Antiqua" w:cs="All Times New Roman"/>
        </w:rPr>
        <w:t>Jan</w:t>
      </w:r>
      <w:proofErr w:type="spellEnd"/>
      <w:r w:rsidRPr="008D1910">
        <w:rPr>
          <w:rFonts w:ascii="Book Antiqua" w:hAnsi="Book Antiqua" w:cs="All Times New Roman"/>
        </w:rPr>
        <w:t xml:space="preserve"> </w:t>
      </w:r>
      <w:proofErr w:type="spellStart"/>
      <w:r w:rsidRPr="008D1910">
        <w:rPr>
          <w:rFonts w:ascii="Book Antiqua" w:hAnsi="Book Antiqua" w:cs="All Times New Roman"/>
        </w:rPr>
        <w:t>Fischer</w:t>
      </w:r>
      <w:proofErr w:type="spellEnd"/>
      <w:r w:rsidRPr="008D1910">
        <w:rPr>
          <w:rFonts w:ascii="Book Antiqua" w:hAnsi="Book Antiqua" w:cs="All Times New Roman"/>
        </w:rPr>
        <w:t xml:space="preserve">, Αντιπρόεδρο της Ευρωπαϊκής Τράπεζας Ανασυγκρότησης και Ανάπτυξης, η ΕΤΑΑ θα ενταχθεί επίσης στα ως άνω Μνημόνια.  </w:t>
      </w:r>
    </w:p>
    <w:p w:rsidR="00127B9A" w:rsidRDefault="00127B9A" w:rsidP="00127B9A">
      <w:pPr>
        <w:ind w:firstLine="720"/>
        <w:jc w:val="both"/>
        <w:rPr>
          <w:rFonts w:ascii="Century Gothic" w:hAnsi="Century Gothic" w:cs="TimesNewRomanPS-BoldItalicMT"/>
          <w:b/>
          <w:bCs/>
          <w:iCs/>
          <w:color w:val="333399"/>
          <w:sz w:val="28"/>
          <w:szCs w:val="28"/>
        </w:rPr>
      </w:pPr>
      <w:r w:rsidRPr="008D1910">
        <w:rPr>
          <w:rFonts w:ascii="Book Antiqua" w:hAnsi="Book Antiqua" w:cs="All Times New Roman"/>
        </w:rPr>
        <w:t xml:space="preserve">Τέλος, ο Επίτροπος Περιφερειακής Πολιτικής της Ε.Ε., κ. </w:t>
      </w:r>
      <w:proofErr w:type="spellStart"/>
      <w:r w:rsidRPr="008D1910">
        <w:rPr>
          <w:rFonts w:ascii="Book Antiqua" w:hAnsi="Book Antiqua" w:cs="All Times New Roman"/>
        </w:rPr>
        <w:t>Johannes</w:t>
      </w:r>
      <w:proofErr w:type="spellEnd"/>
      <w:r w:rsidRPr="008D1910">
        <w:rPr>
          <w:rFonts w:ascii="Book Antiqua" w:hAnsi="Book Antiqua" w:cs="All Times New Roman"/>
        </w:rPr>
        <w:t xml:space="preserve"> </w:t>
      </w:r>
      <w:proofErr w:type="spellStart"/>
      <w:r w:rsidRPr="008D1910">
        <w:rPr>
          <w:rFonts w:ascii="Book Antiqua" w:hAnsi="Book Antiqua" w:cs="All Times New Roman"/>
        </w:rPr>
        <w:t>Hann</w:t>
      </w:r>
      <w:proofErr w:type="spellEnd"/>
      <w:r w:rsidRPr="008D1910">
        <w:rPr>
          <w:rFonts w:ascii="Book Antiqua" w:hAnsi="Book Antiqua" w:cs="All Times New Roman"/>
        </w:rPr>
        <w:t xml:space="preserve">, αναφέρθηκε στην εντατική προετοιμασία που προηγήθηκε της υπογραφής των δύο Μνημονίων που θα αποτελέσουν χρήσιμο εργαλείο για την επιτάχυνση της αξιοποίησης πόρων του Ταμείου Συνοχής. Ο Βούλγαρος Πρωθυπουργός, κ. </w:t>
      </w:r>
      <w:proofErr w:type="spellStart"/>
      <w:r w:rsidRPr="008D1910">
        <w:rPr>
          <w:rFonts w:ascii="Book Antiqua" w:hAnsi="Book Antiqua" w:cs="All Times New Roman"/>
        </w:rPr>
        <w:t>Boyko</w:t>
      </w:r>
      <w:proofErr w:type="spellEnd"/>
      <w:r w:rsidRPr="008D1910">
        <w:rPr>
          <w:rFonts w:ascii="Book Antiqua" w:hAnsi="Book Antiqua" w:cs="All Times New Roman"/>
        </w:rPr>
        <w:t xml:space="preserve"> </w:t>
      </w:r>
      <w:proofErr w:type="spellStart"/>
      <w:r w:rsidRPr="008D1910">
        <w:rPr>
          <w:rFonts w:ascii="Book Antiqua" w:hAnsi="Book Antiqua" w:cs="All Times New Roman"/>
        </w:rPr>
        <w:t>Borisov</w:t>
      </w:r>
      <w:proofErr w:type="spellEnd"/>
      <w:r w:rsidRPr="008D1910">
        <w:rPr>
          <w:rFonts w:ascii="Book Antiqua" w:hAnsi="Book Antiqua" w:cs="All Times New Roman"/>
        </w:rPr>
        <w:t xml:space="preserve"> δήλωσε με το πέρας της τελετής υπογραφής ότι μέχρι το 2014 η Βουλγαρία θα επιτύχει απορρόφηση κοινοτικών κονδυλίων της τάξης του 40%-50%, ενώ αποτελεί επιδίωξη της βουλγαρικής κυβέρνησης η μείωση του ποσοστού εθνικής συγχρηματοδότησης από 20%, που είναι σήμερα, σε 5%. Ο κ. J. </w:t>
      </w:r>
      <w:proofErr w:type="spellStart"/>
      <w:r w:rsidRPr="008D1910">
        <w:rPr>
          <w:rFonts w:ascii="Book Antiqua" w:hAnsi="Book Antiqua" w:cs="All Times New Roman"/>
        </w:rPr>
        <w:t>Hann</w:t>
      </w:r>
      <w:proofErr w:type="spellEnd"/>
      <w:r w:rsidRPr="008D1910">
        <w:rPr>
          <w:rFonts w:ascii="Book Antiqua" w:hAnsi="Book Antiqua" w:cs="All Times New Roman"/>
        </w:rPr>
        <w:t xml:space="preserve"> δήλωσε ότι «το ζήτημα θα εξετασθεί βραχυπρόθεσμα και ότι πρόκειται για ρεαλιστική απόφαση».  </w:t>
      </w:r>
    </w:p>
    <w:p w:rsidR="00127B9A" w:rsidRPr="00C21D1C" w:rsidRDefault="00127B9A" w:rsidP="00127B9A">
      <w:pPr>
        <w:jc w:val="both"/>
        <w:outlineLvl w:val="0"/>
        <w:rPr>
          <w:rFonts w:ascii="Century Gothic" w:hAnsi="Century Gothic" w:cs="TimesNewRomanPS-BoldItalicMT"/>
          <w:b/>
          <w:bCs/>
          <w:iCs/>
          <w:color w:val="9BBB59" w:themeColor="accent3"/>
          <w:sz w:val="28"/>
          <w:szCs w:val="28"/>
        </w:rPr>
      </w:pPr>
      <w:r>
        <w:rPr>
          <w:rFonts w:ascii="Century Gothic" w:hAnsi="Century Gothic" w:cs="TimesNewRomanPS-BoldItalicMT"/>
          <w:b/>
          <w:bCs/>
          <w:iCs/>
          <w:color w:val="333399"/>
          <w:sz w:val="28"/>
          <w:szCs w:val="28"/>
        </w:rPr>
        <w:br w:type="page"/>
      </w:r>
      <w:bookmarkStart w:id="6" w:name="_Toc315701924"/>
      <w:r w:rsidRPr="00C21D1C">
        <w:rPr>
          <w:rFonts w:ascii="Century Gothic" w:hAnsi="Century Gothic" w:cs="TimesNewRomanPS-BoldItalicMT"/>
          <w:b/>
          <w:bCs/>
          <w:iCs/>
          <w:color w:val="9BBB59" w:themeColor="accent3"/>
          <w:sz w:val="28"/>
          <w:szCs w:val="28"/>
          <w:lang w:val="en-US"/>
        </w:rPr>
        <w:lastRenderedPageBreak/>
        <w:t>IV</w:t>
      </w:r>
      <w:r w:rsidRPr="00C21D1C">
        <w:rPr>
          <w:rFonts w:ascii="Century Gothic" w:hAnsi="Century Gothic" w:cs="TimesNewRomanPS-BoldItalicMT"/>
          <w:b/>
          <w:bCs/>
          <w:iCs/>
          <w:color w:val="9BBB59" w:themeColor="accent3"/>
          <w:sz w:val="28"/>
          <w:szCs w:val="28"/>
        </w:rPr>
        <w:t>. ΚΛΑΔΙΚΑ</w:t>
      </w:r>
      <w:bookmarkEnd w:id="6"/>
    </w:p>
    <w:p w:rsidR="00127B9A" w:rsidRDefault="00127B9A" w:rsidP="00127B9A">
      <w:pPr>
        <w:rPr>
          <w:rFonts w:ascii="Book Antiqua" w:hAnsi="Book Antiqua" w:cs="Tahoma"/>
          <w:b/>
          <w:sz w:val="26"/>
          <w:szCs w:val="26"/>
          <w:u w:val="single"/>
        </w:rPr>
      </w:pPr>
    </w:p>
    <w:p w:rsidR="00127B9A" w:rsidRPr="00C21D1C" w:rsidRDefault="00127B9A" w:rsidP="00127B9A">
      <w:pPr>
        <w:jc w:val="both"/>
        <w:outlineLvl w:val="0"/>
        <w:rPr>
          <w:rFonts w:ascii="Book Antiqua" w:hAnsi="Book Antiqua" w:cs="Tahoma"/>
          <w:b/>
          <w:color w:val="9BBB59" w:themeColor="accent3"/>
          <w:sz w:val="26"/>
          <w:szCs w:val="26"/>
          <w:u w:val="single"/>
        </w:rPr>
      </w:pPr>
      <w:bookmarkStart w:id="7" w:name="_Toc315701925"/>
      <w:r w:rsidRPr="00C21D1C">
        <w:rPr>
          <w:rFonts w:ascii="Book Antiqua" w:hAnsi="Book Antiqua" w:cs="Tahoma"/>
          <w:b/>
          <w:color w:val="9BBB59" w:themeColor="accent3"/>
          <w:sz w:val="26"/>
          <w:szCs w:val="26"/>
          <w:u w:val="single"/>
        </w:rPr>
        <w:t>ΤΟΥΡΙΣΜΟΣ</w:t>
      </w:r>
      <w:bookmarkEnd w:id="7"/>
    </w:p>
    <w:p w:rsidR="00127B9A" w:rsidRPr="00F63B57" w:rsidRDefault="00127B9A" w:rsidP="00127B9A">
      <w:pPr>
        <w:tabs>
          <w:tab w:val="left" w:pos="3960"/>
          <w:tab w:val="left" w:pos="4140"/>
        </w:tabs>
        <w:rPr>
          <w:rFonts w:ascii="Book Antiqua" w:hAnsi="Book Antiqua" w:cs="All Times New Roman"/>
        </w:rPr>
      </w:pPr>
      <w:r>
        <w:rPr>
          <w:rFonts w:ascii="Book Antiqua" w:hAnsi="Book Antiqua" w:cs="All Times New Roman"/>
          <w:vanish/>
        </w:rPr>
        <w:t>ομικσμρnchev ον κονδυλημρκοpean Affairs and EU FUnds</w:t>
      </w:r>
    </w:p>
    <w:p w:rsidR="00127B9A" w:rsidRPr="00FB74BD" w:rsidRDefault="00127B9A" w:rsidP="00127B9A">
      <w:pPr>
        <w:pBdr>
          <w:top w:val="single" w:sz="4" w:space="1" w:color="000000"/>
          <w:left w:val="single" w:sz="4" w:space="0" w:color="000000"/>
          <w:bottom w:val="single" w:sz="4" w:space="1" w:color="000000"/>
          <w:right w:val="single" w:sz="4" w:space="0" w:color="000000"/>
        </w:pBdr>
        <w:shd w:val="clear" w:color="auto" w:fill="CCECFF"/>
        <w:jc w:val="both"/>
        <w:outlineLvl w:val="2"/>
        <w:rPr>
          <w:rFonts w:ascii="Book Antiqua" w:hAnsi="Book Antiqua" w:cs="All Times New Roman"/>
        </w:rPr>
      </w:pPr>
      <w:r>
        <w:rPr>
          <w:rFonts w:ascii="Book Antiqua" w:hAnsi="Book Antiqua"/>
          <w:b/>
        </w:rPr>
        <w:t xml:space="preserve">  </w:t>
      </w:r>
      <w:bookmarkStart w:id="8" w:name="_Toc315701926"/>
      <w:r>
        <w:rPr>
          <w:rFonts w:ascii="Book Antiqua" w:hAnsi="Book Antiqua" w:cs="All Times New Roman"/>
          <w:b/>
        </w:rPr>
        <w:t xml:space="preserve"> </w:t>
      </w:r>
      <w:r w:rsidRPr="00FB74BD">
        <w:rPr>
          <w:rFonts w:ascii="Book Antiqua" w:hAnsi="Book Antiqua" w:cs="Tahoma"/>
          <w:b/>
        </w:rPr>
        <w:t>Εκτιμήσεις για την πορεία του τουριστικού κλάδου στη Βουλγαρία το 2011 και προβλέψεις για το 2012</w:t>
      </w:r>
      <w:bookmarkEnd w:id="8"/>
    </w:p>
    <w:p w:rsidR="00127B9A" w:rsidRDefault="00127B9A" w:rsidP="00127B9A">
      <w:pPr>
        <w:ind w:firstLine="720"/>
        <w:jc w:val="center"/>
        <w:rPr>
          <w:rFonts w:ascii="Book Antiqua" w:hAnsi="Book Antiqua" w:cs="Tahoma"/>
          <w:b/>
        </w:rPr>
      </w:pPr>
    </w:p>
    <w:p w:rsidR="00127B9A" w:rsidRPr="00FB74BD" w:rsidRDefault="00127B9A" w:rsidP="00127B9A">
      <w:pPr>
        <w:ind w:firstLine="720"/>
        <w:jc w:val="both"/>
        <w:rPr>
          <w:rFonts w:ascii="Book Antiqua" w:hAnsi="Book Antiqua" w:cs="Tahoma"/>
        </w:rPr>
      </w:pPr>
      <w:r w:rsidRPr="00FB74BD">
        <w:rPr>
          <w:rFonts w:ascii="Book Antiqua" w:hAnsi="Book Antiqua" w:cs="Tahoma"/>
        </w:rPr>
        <w:t xml:space="preserve">Σε ενημερωτική συνάντηση με τους εμπορικούς συμβούλους των κρατών-μελών του ΟΟΣΑ (18.01.2012), ο Αναπληρωτής Υπουργός Οικονομίας, Ενέργειας και Τουρισμού της Βουλγαρίας, κ. </w:t>
      </w:r>
      <w:proofErr w:type="spellStart"/>
      <w:r w:rsidRPr="00FB74BD">
        <w:rPr>
          <w:rFonts w:ascii="Book Antiqua" w:hAnsi="Book Antiqua" w:cs="Tahoma"/>
        </w:rPr>
        <w:t>Ivo</w:t>
      </w:r>
      <w:proofErr w:type="spellEnd"/>
      <w:r w:rsidRPr="00FB74BD">
        <w:rPr>
          <w:rFonts w:ascii="Book Antiqua" w:hAnsi="Book Antiqua" w:cs="Tahoma"/>
        </w:rPr>
        <w:t xml:space="preserve"> </w:t>
      </w:r>
      <w:proofErr w:type="spellStart"/>
      <w:r w:rsidRPr="00FB74BD">
        <w:rPr>
          <w:rFonts w:ascii="Book Antiqua" w:hAnsi="Book Antiqua" w:cs="Tahoma"/>
        </w:rPr>
        <w:t>Marinov</w:t>
      </w:r>
      <w:proofErr w:type="spellEnd"/>
      <w:r w:rsidRPr="00FB74BD">
        <w:rPr>
          <w:rFonts w:ascii="Book Antiqua" w:hAnsi="Book Antiqua" w:cs="Tahoma"/>
        </w:rPr>
        <w:t xml:space="preserve">, αναφέρθηκε στην έως τώρα πορεία του τουριστικού κλάδου της χώρας και στις μελλοντικές του προοπτικές. Όπως ανέφερε σχετικά ο κ. </w:t>
      </w:r>
      <w:proofErr w:type="spellStart"/>
      <w:r w:rsidRPr="00FB74BD">
        <w:rPr>
          <w:rFonts w:ascii="Book Antiqua" w:hAnsi="Book Antiqua" w:cs="Tahoma"/>
        </w:rPr>
        <w:t>Marinov</w:t>
      </w:r>
      <w:proofErr w:type="spellEnd"/>
      <w:r w:rsidRPr="00FB74BD">
        <w:rPr>
          <w:rFonts w:ascii="Book Antiqua" w:hAnsi="Book Antiqua" w:cs="Tahoma"/>
        </w:rPr>
        <w:t xml:space="preserve">, βάσει των έως τώρα διαθέσιμων στοιχείων του βουλγαρικού Στατιστικού Ινστιτούτου, το 2011 (Ιανουάριος – Νοέμβριος) παρατηρήθηκε αύξηση των αφίξεων τουριστών της τάξης του 4,5%. Συνολικά, το α’ ενδεκάμηνο 2011 επισκέφθηκαν τη Βουλγαρία περίπου 6 εκατ. ξένοι τουρίστες. Σε </w:t>
      </w:r>
      <w:proofErr w:type="spellStart"/>
      <w:r w:rsidRPr="00FB74BD">
        <w:rPr>
          <w:rFonts w:ascii="Book Antiqua" w:hAnsi="Book Antiqua" w:cs="Tahoma"/>
        </w:rPr>
        <w:t>ό,τι</w:t>
      </w:r>
      <w:proofErr w:type="spellEnd"/>
      <w:r w:rsidRPr="00FB74BD">
        <w:rPr>
          <w:rFonts w:ascii="Book Antiqua" w:hAnsi="Book Antiqua" w:cs="Tahoma"/>
        </w:rPr>
        <w:t xml:space="preserve"> αφορά τις αφίξεις από κράτη-μέλη της ΕΕ, η αύξηση κυμαίνεται στο 6,8%. Τα δε έσοδα από τον κλάδο του τουρισμού ανήλθαν το α’ δεκάμηνο 2011 στα €2,6 δισ. Γενικά, ο τουριστικός κλάδος συνεισφέρει ετησίως σε ποσοστό 10,5% στο ΑΕΠ της Βουλγαρίας.</w:t>
      </w:r>
    </w:p>
    <w:p w:rsidR="00127B9A" w:rsidRDefault="00127B9A" w:rsidP="00127B9A">
      <w:pPr>
        <w:ind w:firstLine="720"/>
        <w:jc w:val="both"/>
        <w:rPr>
          <w:rFonts w:ascii="Book Antiqua" w:hAnsi="Book Antiqua" w:cs="Tahoma"/>
        </w:rPr>
      </w:pPr>
      <w:r w:rsidRPr="00FB74BD">
        <w:rPr>
          <w:rFonts w:ascii="Book Antiqua" w:hAnsi="Book Antiqua" w:cs="Tahoma"/>
        </w:rPr>
        <w:t xml:space="preserve">Σε </w:t>
      </w:r>
      <w:proofErr w:type="spellStart"/>
      <w:r w:rsidRPr="00FB74BD">
        <w:rPr>
          <w:rFonts w:ascii="Book Antiqua" w:hAnsi="Book Antiqua" w:cs="Tahoma"/>
        </w:rPr>
        <w:t>ό,τι</w:t>
      </w:r>
      <w:proofErr w:type="spellEnd"/>
      <w:r w:rsidRPr="00FB74BD">
        <w:rPr>
          <w:rFonts w:ascii="Book Antiqua" w:hAnsi="Book Antiqua" w:cs="Tahoma"/>
        </w:rPr>
        <w:t xml:space="preserve"> αφορά ειδικότερα τις τουριστικές ροές, βάσει στοιχείων του Στατιστικού Ινστιτούτου που επικαλέστηκε ο κ. </w:t>
      </w:r>
      <w:proofErr w:type="spellStart"/>
      <w:r w:rsidRPr="00FB74BD">
        <w:rPr>
          <w:rFonts w:ascii="Book Antiqua" w:hAnsi="Book Antiqua" w:cs="Tahoma"/>
        </w:rPr>
        <w:t>Marinov</w:t>
      </w:r>
      <w:proofErr w:type="spellEnd"/>
      <w:r w:rsidRPr="00FB74BD">
        <w:rPr>
          <w:rFonts w:ascii="Book Antiqua" w:hAnsi="Book Antiqua" w:cs="Tahoma"/>
        </w:rPr>
        <w:t xml:space="preserve"> και αφορούν σε ολόκληρο το δωδεκάμηνο του 2012, οι περισσότερες αφίξεις προήλθαν από Ρουμανία και Ελλάδα (περίπου 800.000 άτομα για καθεμία από τις χώρες αυτές) με τη Γερμανία να έπεται (690.000 αφίξεις). Βάσει των επίσημα δημοσιευμένων στοιχείων του Στατιστικού Ινστιτούτου, που δεν περιλαμβάνουν, όμως, το Δεκέμβριο, οι συνολικές αφίξεις Ελλήνων στη Βουλγαρία προσεγγίζουν το α’ ενδεκάμηνο 2011 τα 1.100.000 άτομα, το ήμισυ των οποίων αφορούν σε τουρίστες. Σε </w:t>
      </w:r>
      <w:proofErr w:type="spellStart"/>
      <w:r w:rsidRPr="00FB74BD">
        <w:rPr>
          <w:rFonts w:ascii="Book Antiqua" w:hAnsi="Book Antiqua" w:cs="Tahoma"/>
        </w:rPr>
        <w:t>ό,τι</w:t>
      </w:r>
      <w:proofErr w:type="spellEnd"/>
      <w:r w:rsidRPr="00FB74BD">
        <w:rPr>
          <w:rFonts w:ascii="Book Antiqua" w:hAnsi="Book Antiqua" w:cs="Tahoma"/>
        </w:rPr>
        <w:t xml:space="preserve"> αφορά τις προβλέψεις για τη ροή Βουλγάρων τουριστών προς το εξωτερικό το 2012, η εκτίμηση του κ. </w:t>
      </w:r>
      <w:proofErr w:type="spellStart"/>
      <w:r w:rsidRPr="00FB74BD">
        <w:rPr>
          <w:rFonts w:ascii="Book Antiqua" w:hAnsi="Book Antiqua" w:cs="Tahoma"/>
        </w:rPr>
        <w:t>Marinov</w:t>
      </w:r>
      <w:proofErr w:type="spellEnd"/>
      <w:r w:rsidRPr="00FB74BD">
        <w:rPr>
          <w:rFonts w:ascii="Book Antiqua" w:hAnsi="Book Antiqua" w:cs="Tahoma"/>
        </w:rPr>
        <w:t xml:space="preserve"> είναι πως θα αυξηθεί το τουριστικό ρεύμα προς μακρινούς προορισμούς (υποστηριζόμενο, κυρίως, από τα υψηλότερα εισοδήματα) και θα μειωθεί προς τις γειτονικές χώρες και, ιδίως, προς Ελλάδα και Τουρκία. </w:t>
      </w:r>
    </w:p>
    <w:p w:rsidR="00127B9A" w:rsidRPr="00FB74BD" w:rsidRDefault="00127B9A" w:rsidP="00127B9A">
      <w:pPr>
        <w:ind w:firstLine="720"/>
        <w:jc w:val="both"/>
        <w:rPr>
          <w:rFonts w:ascii="Book Antiqua" w:hAnsi="Book Antiqua" w:cs="Tahoma"/>
        </w:rPr>
      </w:pPr>
      <w:r w:rsidRPr="00FB74BD">
        <w:rPr>
          <w:rFonts w:ascii="Book Antiqua" w:hAnsi="Book Antiqua" w:cs="Tahoma"/>
        </w:rPr>
        <w:t xml:space="preserve">Σημειώνεται ότι, βάσει των δημοσιευμένων στοιχείων του Στατιστικού Ινστιτούτου για το 2011 (Ιανουάριος – Νοέμβριος), οι αφίξεις Βουλγάρων στην Ελλάδα ανήλθαν σε περίπου 950.000, το 1/3 των οποίων αφορά σε τουριστικές μετακινήσεις. Εξαίρεση των ως άνω εκτιμώμενων πτωτικών ροών προς τις γειτονικές χώρες αναμένεται να </w:t>
      </w:r>
      <w:proofErr w:type="spellStart"/>
      <w:r w:rsidRPr="00FB74BD">
        <w:rPr>
          <w:rFonts w:ascii="Book Antiqua" w:hAnsi="Book Antiqua" w:cs="Tahoma"/>
        </w:rPr>
        <w:t>αποτέλεσει</w:t>
      </w:r>
      <w:proofErr w:type="spellEnd"/>
      <w:r w:rsidRPr="00FB74BD">
        <w:rPr>
          <w:rFonts w:ascii="Book Antiqua" w:hAnsi="Book Antiqua" w:cs="Tahoma"/>
        </w:rPr>
        <w:t xml:space="preserve"> η Σερβία για ποικίλους λόγους, όπως η γλωσσική εγγύτητα (η σερβοκροατική και η βουλγαρική είναι αμοιβαίως κατανοητές γλώσσες), το χαμηλό κόστος (συγκρίσιμο με αυτό της Βουλγαρίας) και η διευκόλυνση εισόδου στη Σερβία για πολίτες κρατών-μελών ΕΕ μόνο με επίδειξη ταυτότητας. Τέλος, σε </w:t>
      </w:r>
      <w:proofErr w:type="spellStart"/>
      <w:r w:rsidRPr="00FB74BD">
        <w:rPr>
          <w:rFonts w:ascii="Book Antiqua" w:hAnsi="Book Antiqua" w:cs="Tahoma"/>
        </w:rPr>
        <w:t>ό,τι</w:t>
      </w:r>
      <w:proofErr w:type="spellEnd"/>
      <w:r w:rsidRPr="00FB74BD">
        <w:rPr>
          <w:rFonts w:ascii="Book Antiqua" w:hAnsi="Book Antiqua" w:cs="Tahoma"/>
        </w:rPr>
        <w:t xml:space="preserve"> </w:t>
      </w:r>
      <w:r w:rsidRPr="00FB74BD">
        <w:rPr>
          <w:rFonts w:ascii="Book Antiqua" w:hAnsi="Book Antiqua" w:cs="Tahoma"/>
        </w:rPr>
        <w:lastRenderedPageBreak/>
        <w:t xml:space="preserve">αφορά τον εσωτερικό τουρισμό, ο κ. </w:t>
      </w:r>
      <w:proofErr w:type="spellStart"/>
      <w:r w:rsidRPr="00FB74BD">
        <w:rPr>
          <w:rFonts w:ascii="Book Antiqua" w:hAnsi="Book Antiqua" w:cs="Tahoma"/>
        </w:rPr>
        <w:t>Marinov</w:t>
      </w:r>
      <w:proofErr w:type="spellEnd"/>
      <w:r w:rsidRPr="00FB74BD">
        <w:rPr>
          <w:rFonts w:ascii="Book Antiqua" w:hAnsi="Book Antiqua" w:cs="Tahoma"/>
        </w:rPr>
        <w:t xml:space="preserve"> εκτίμησε ότι θα παρατηρηθεί το 2012 αύξηση των μετακινήσεων της τάξης του 20%, αλλά, παράλληλα, θα ενισχυθεί η τάση για τακτικότερες μεν συντομότερες δε διακοπές. Παρατηρείται, επίσης, μια τάση αναβάθμισης των λεγόμενων «δυναμικών πακέτων», όπου ο ενδιαφερόμενος καθορίζει μόνος του μεταξύ διαθέσιμων επιλογών τις επιμέρους πτυχές του τουριστικού του πακέτου.</w:t>
      </w:r>
    </w:p>
    <w:p w:rsidR="00127B9A" w:rsidRDefault="00127B9A" w:rsidP="00127B9A">
      <w:pPr>
        <w:ind w:firstLine="720"/>
        <w:jc w:val="both"/>
        <w:rPr>
          <w:rFonts w:ascii="Book Antiqua" w:hAnsi="Book Antiqua" w:cs="Tahoma"/>
        </w:rPr>
      </w:pPr>
      <w:r w:rsidRPr="00FB74BD">
        <w:rPr>
          <w:rFonts w:ascii="Book Antiqua" w:hAnsi="Book Antiqua" w:cs="Tahoma"/>
        </w:rPr>
        <w:t xml:space="preserve">Αναφερόμενος στις προτεραιότητες της βουλγαρικής κυβέρνησης για το αμέσως επόμενο διάστημα, ο κ. </w:t>
      </w:r>
      <w:proofErr w:type="spellStart"/>
      <w:r w:rsidRPr="00FB74BD">
        <w:rPr>
          <w:rFonts w:ascii="Book Antiqua" w:hAnsi="Book Antiqua" w:cs="Tahoma"/>
        </w:rPr>
        <w:t>Marinov</w:t>
      </w:r>
      <w:proofErr w:type="spellEnd"/>
      <w:r w:rsidRPr="00FB74BD">
        <w:rPr>
          <w:rFonts w:ascii="Book Antiqua" w:hAnsi="Book Antiqua" w:cs="Tahoma"/>
        </w:rPr>
        <w:t xml:space="preserve"> επισήμανε ότι στόχος αποτελεί η διεύρυνση και διαφοροποίηση του τουριστικού προϊόντος μέσω της ανάπτυξης και προώθησης νέων μορφών τουρισμού (παραδουνάβιου, πολιτιστικού, εκδρομικού, ιαματικού, </w:t>
      </w:r>
      <w:proofErr w:type="spellStart"/>
      <w:r w:rsidRPr="00FB74BD">
        <w:rPr>
          <w:rFonts w:ascii="Book Antiqua" w:hAnsi="Book Antiqua" w:cs="Tahoma"/>
        </w:rPr>
        <w:t>οικοτουρισμού</w:t>
      </w:r>
      <w:proofErr w:type="spellEnd"/>
      <w:r w:rsidRPr="00FB74BD">
        <w:rPr>
          <w:rFonts w:ascii="Book Antiqua" w:hAnsi="Book Antiqua" w:cs="Tahoma"/>
        </w:rPr>
        <w:t xml:space="preserve">, οινικού και γαστριμαργικού, συνεδριακού και γκολφ [η Βουλγαρία ήδη διαθέτει 6 μεγάλες εγκαταστάσεις </w:t>
      </w:r>
      <w:proofErr w:type="spellStart"/>
      <w:r w:rsidRPr="00FB74BD">
        <w:rPr>
          <w:rFonts w:ascii="Book Antiqua" w:hAnsi="Book Antiqua" w:cs="Tahoma"/>
        </w:rPr>
        <w:t>γκόλφ</w:t>
      </w:r>
      <w:proofErr w:type="spellEnd"/>
      <w:r w:rsidRPr="00FB74BD">
        <w:rPr>
          <w:rFonts w:ascii="Book Antiqua" w:hAnsi="Book Antiqua" w:cs="Tahoma"/>
        </w:rPr>
        <w:t xml:space="preserve">]) πέραν αυτών που έως τώρα στηρίζουν την τουριστική βιομηχανία της χώρας (παραθαλάσσιος θερινός τουρισμός και χειμερινός τουρισμός), ώστε η Βουλγαρία να καταστεί πόλος έλξης τουριστών ολόκληρο το δωδεκάμηνο του έτους. Στο πλαίσιο αυτό, καταστρώνεται ένα ολοκληρωμένο σχέδιο δράσης, στο πλαίσιο του οποίου προγραμματίζεται η προκήρυξη διαγωνισμού για την ανάδειξη αναδόχου με αποστολή την προώθηση του </w:t>
      </w:r>
      <w:proofErr w:type="spellStart"/>
      <w:r w:rsidRPr="00FB74BD">
        <w:rPr>
          <w:rFonts w:ascii="Book Antiqua" w:hAnsi="Book Antiqua" w:cs="Tahoma"/>
        </w:rPr>
        <w:t>brand</w:t>
      </w:r>
      <w:proofErr w:type="spellEnd"/>
      <w:r w:rsidRPr="00FB74BD">
        <w:rPr>
          <w:rFonts w:ascii="Book Antiqua" w:hAnsi="Book Antiqua" w:cs="Tahoma"/>
        </w:rPr>
        <w:t xml:space="preserve"> της Βουλγαρίας και τον ανασχεδιασμό των συστατικών στοιχείων που το αφορούν (</w:t>
      </w:r>
      <w:proofErr w:type="spellStart"/>
      <w:r w:rsidRPr="00FB74BD">
        <w:rPr>
          <w:rFonts w:ascii="Book Antiqua" w:hAnsi="Book Antiqua" w:cs="Tahoma"/>
        </w:rPr>
        <w:t>logo</w:t>
      </w:r>
      <w:proofErr w:type="spellEnd"/>
      <w:r w:rsidRPr="00FB74BD">
        <w:rPr>
          <w:rFonts w:ascii="Book Antiqua" w:hAnsi="Book Antiqua" w:cs="Tahoma"/>
        </w:rPr>
        <w:t xml:space="preserve">, σλόγκαν κ.ά.). </w:t>
      </w:r>
    </w:p>
    <w:p w:rsidR="00127B9A" w:rsidRPr="00FB74BD" w:rsidRDefault="00127B9A" w:rsidP="00127B9A">
      <w:pPr>
        <w:ind w:firstLine="720"/>
        <w:jc w:val="both"/>
        <w:rPr>
          <w:rFonts w:ascii="Book Antiqua" w:hAnsi="Book Antiqua" w:cs="Tahoma"/>
        </w:rPr>
      </w:pPr>
      <w:r w:rsidRPr="00FB74BD">
        <w:rPr>
          <w:rFonts w:ascii="Book Antiqua" w:hAnsi="Book Antiqua" w:cs="Tahoma"/>
        </w:rPr>
        <w:t xml:space="preserve">Σύμφωνα με τον κ. </w:t>
      </w:r>
      <w:proofErr w:type="spellStart"/>
      <w:r w:rsidRPr="00FB74BD">
        <w:rPr>
          <w:rFonts w:ascii="Book Antiqua" w:hAnsi="Book Antiqua" w:cs="Tahoma"/>
        </w:rPr>
        <w:t>Marinov</w:t>
      </w:r>
      <w:proofErr w:type="spellEnd"/>
      <w:r w:rsidRPr="00FB74BD">
        <w:rPr>
          <w:rFonts w:ascii="Book Antiqua" w:hAnsi="Book Antiqua" w:cs="Tahoma"/>
        </w:rPr>
        <w:t xml:space="preserve">, στόχος της κυβέρνησης είναι ο εν λόγω ανάδοχος να έχει επιλεγεί εντός του 2012. Παράλληλα, προωθείται νέος τουριστικός νόμος (προγραμματίζεται να υποβληθεί προς έγκριση στο Υπουργικό Συμβούλιο στα τέλη Φεβρουαρίου </w:t>
      </w:r>
      <w:proofErr w:type="spellStart"/>
      <w:r w:rsidRPr="00FB74BD">
        <w:rPr>
          <w:rFonts w:ascii="Book Antiqua" w:hAnsi="Book Antiqua" w:cs="Tahoma"/>
        </w:rPr>
        <w:t>τ.έ</w:t>
      </w:r>
      <w:proofErr w:type="spellEnd"/>
      <w:r w:rsidRPr="00FB74BD">
        <w:rPr>
          <w:rFonts w:ascii="Book Antiqua" w:hAnsi="Book Antiqua" w:cs="Tahoma"/>
        </w:rPr>
        <w:t xml:space="preserve">.) με σκοπό, μεταξύ άλλων, την αποκέντρωση των δραστηριοτήτων τουριστικού </w:t>
      </w:r>
      <w:proofErr w:type="spellStart"/>
      <w:r w:rsidRPr="00FB74BD">
        <w:rPr>
          <w:rFonts w:ascii="Book Antiqua" w:hAnsi="Book Antiqua" w:cs="Tahoma"/>
        </w:rPr>
        <w:t>marketing</w:t>
      </w:r>
      <w:proofErr w:type="spellEnd"/>
      <w:r w:rsidRPr="00FB74BD">
        <w:rPr>
          <w:rFonts w:ascii="Book Antiqua" w:hAnsi="Book Antiqua" w:cs="Tahoma"/>
        </w:rPr>
        <w:t xml:space="preserve"> και διαφήμισης μέσω της δημιουργίας τουριστικών περιφερειών. Επιπλέον, σχεδιάζεται η θέσπιση εθνικού οργανισμού τουρισμού, που θα αναλάβει σε κεντρικό επίπεδο τις ως άνω δραστηριότητες, οι οποίες σήμερα υλοποιούνται από το Υπουργείο Οικονομίας, Ενέργειας και Τουρισμού. Ήδη έχει τεθεί σε λειτουργία η εθνική διαδικτυακή πύλη για τον τουρισμό (www.bulgariatravel.org). Τέλος, σε </w:t>
      </w:r>
      <w:proofErr w:type="spellStart"/>
      <w:r w:rsidRPr="00FB74BD">
        <w:rPr>
          <w:rFonts w:ascii="Book Antiqua" w:hAnsi="Book Antiqua" w:cs="Tahoma"/>
        </w:rPr>
        <w:t>ό,τι</w:t>
      </w:r>
      <w:proofErr w:type="spellEnd"/>
      <w:r w:rsidRPr="00FB74BD">
        <w:rPr>
          <w:rFonts w:ascii="Book Antiqua" w:hAnsi="Book Antiqua" w:cs="Tahoma"/>
        </w:rPr>
        <w:t xml:space="preserve"> αφορά τη διαφημιστική εκστρατεία της Βουλγαρίας, για το 2012 θα επικεντρωθεί στην Ευρώπη, με ειδικότερη έμφαση στις κάτωθι χώρες: Γερμανία, Ρωσία, Ουκρανία, Ρουμανία, Πολωνία και σκανδιναβικές χώρες.</w:t>
      </w:r>
    </w:p>
    <w:p w:rsidR="00127B9A" w:rsidRPr="00FB74BD" w:rsidRDefault="00127B9A" w:rsidP="00127B9A">
      <w:pPr>
        <w:ind w:firstLine="720"/>
        <w:jc w:val="both"/>
        <w:rPr>
          <w:rFonts w:ascii="Book Antiqua" w:hAnsi="Book Antiqua" w:cs="Tahoma"/>
        </w:rPr>
      </w:pPr>
      <w:r w:rsidRPr="00FB74BD">
        <w:rPr>
          <w:rFonts w:ascii="Book Antiqua" w:hAnsi="Book Antiqua" w:cs="Tahoma"/>
        </w:rPr>
        <w:t xml:space="preserve">Ενδιαφέρον παρουσιάζουν, επίσης, τα προγράμματα, στα οποία συμμετέχει και υλοποιεί η Βουλγαρία για την αναβάθμιση του τουριστικού προϊόντος της και την ενίσχυση των σχετικών δομών. Ειδικότερα, η Βουλγαρία αξιοποίησε, σύμφωνα με τον κ. </w:t>
      </w:r>
      <w:proofErr w:type="spellStart"/>
      <w:r w:rsidRPr="00FB74BD">
        <w:rPr>
          <w:rFonts w:ascii="Book Antiqua" w:hAnsi="Book Antiqua" w:cs="Tahoma"/>
        </w:rPr>
        <w:t>Marinov</w:t>
      </w:r>
      <w:proofErr w:type="spellEnd"/>
      <w:r w:rsidRPr="00FB74BD">
        <w:rPr>
          <w:rFonts w:ascii="Book Antiqua" w:hAnsi="Book Antiqua" w:cs="Tahoma"/>
        </w:rPr>
        <w:t>, €130 εκατ. το 2011 μέσω των κοινοτικά χρηματοδοτούμενων Επιχειρησιακών Προγραμμάτων Περιφερειακής και Αγροτικής Ανάπτυξης. Παράλληλα, στο πλαίσιο της κοινοτικής Περιφερειακής Στρατηγικής για το Δούναβη, η Βουλγαρία έχει αναλάβει από κοινού με τη Ρουμανία την υλοποίηση της Προτεραιότητας ΙΙΙ “</w:t>
      </w:r>
      <w:proofErr w:type="spellStart"/>
      <w:r w:rsidRPr="00FB74BD">
        <w:rPr>
          <w:rFonts w:ascii="Book Antiqua" w:hAnsi="Book Antiqua" w:cs="Tahoma"/>
        </w:rPr>
        <w:t>To</w:t>
      </w:r>
      <w:proofErr w:type="spellEnd"/>
      <w:r w:rsidRPr="00FB74BD">
        <w:rPr>
          <w:rFonts w:ascii="Book Antiqua" w:hAnsi="Book Antiqua" w:cs="Tahoma"/>
        </w:rPr>
        <w:t xml:space="preserve"> </w:t>
      </w:r>
      <w:proofErr w:type="spellStart"/>
      <w:r w:rsidRPr="00FB74BD">
        <w:rPr>
          <w:rFonts w:ascii="Book Antiqua" w:hAnsi="Book Antiqua" w:cs="Tahoma"/>
        </w:rPr>
        <w:t>Promote</w:t>
      </w:r>
      <w:proofErr w:type="spellEnd"/>
      <w:r w:rsidRPr="00FB74BD">
        <w:rPr>
          <w:rFonts w:ascii="Book Antiqua" w:hAnsi="Book Antiqua" w:cs="Tahoma"/>
        </w:rPr>
        <w:t xml:space="preserve"> </w:t>
      </w:r>
      <w:proofErr w:type="spellStart"/>
      <w:r w:rsidRPr="00FB74BD">
        <w:rPr>
          <w:rFonts w:ascii="Book Antiqua" w:hAnsi="Book Antiqua" w:cs="Tahoma"/>
        </w:rPr>
        <w:t>Culture</w:t>
      </w:r>
      <w:proofErr w:type="spellEnd"/>
      <w:r w:rsidRPr="00FB74BD">
        <w:rPr>
          <w:rFonts w:ascii="Book Antiqua" w:hAnsi="Book Antiqua" w:cs="Tahoma"/>
        </w:rPr>
        <w:t xml:space="preserve"> &amp; </w:t>
      </w:r>
      <w:proofErr w:type="spellStart"/>
      <w:r w:rsidRPr="00FB74BD">
        <w:rPr>
          <w:rFonts w:ascii="Book Antiqua" w:hAnsi="Book Antiqua" w:cs="Tahoma"/>
        </w:rPr>
        <w:t>Tourism</w:t>
      </w:r>
      <w:proofErr w:type="spellEnd"/>
      <w:r w:rsidRPr="00FB74BD">
        <w:rPr>
          <w:rFonts w:ascii="Book Antiqua" w:hAnsi="Book Antiqua" w:cs="Tahoma"/>
        </w:rPr>
        <w:t xml:space="preserve"> </w:t>
      </w:r>
      <w:proofErr w:type="spellStart"/>
      <w:r w:rsidRPr="00FB74BD">
        <w:rPr>
          <w:rFonts w:ascii="Book Antiqua" w:hAnsi="Book Antiqua" w:cs="Tahoma"/>
        </w:rPr>
        <w:t>People</w:t>
      </w:r>
      <w:proofErr w:type="spellEnd"/>
      <w:r w:rsidRPr="00FB74BD">
        <w:rPr>
          <w:rFonts w:ascii="Book Antiqua" w:hAnsi="Book Antiqua" w:cs="Tahoma"/>
        </w:rPr>
        <w:t xml:space="preserve"> </w:t>
      </w:r>
      <w:proofErr w:type="spellStart"/>
      <w:r w:rsidRPr="00FB74BD">
        <w:rPr>
          <w:rFonts w:ascii="Book Antiqua" w:hAnsi="Book Antiqua" w:cs="Tahoma"/>
        </w:rPr>
        <w:t>to</w:t>
      </w:r>
      <w:proofErr w:type="spellEnd"/>
      <w:r w:rsidRPr="00FB74BD">
        <w:rPr>
          <w:rFonts w:ascii="Book Antiqua" w:hAnsi="Book Antiqua" w:cs="Tahoma"/>
        </w:rPr>
        <w:t xml:space="preserve"> </w:t>
      </w:r>
      <w:proofErr w:type="spellStart"/>
      <w:r w:rsidRPr="00FB74BD">
        <w:rPr>
          <w:rFonts w:ascii="Book Antiqua" w:hAnsi="Book Antiqua" w:cs="Tahoma"/>
        </w:rPr>
        <w:t>People</w:t>
      </w:r>
      <w:proofErr w:type="spellEnd"/>
      <w:r w:rsidRPr="00FB74BD">
        <w:rPr>
          <w:rFonts w:ascii="Book Antiqua" w:hAnsi="Book Antiqua" w:cs="Tahoma"/>
        </w:rPr>
        <w:t xml:space="preserve"> </w:t>
      </w:r>
      <w:proofErr w:type="spellStart"/>
      <w:r w:rsidRPr="00FB74BD">
        <w:rPr>
          <w:rFonts w:ascii="Book Antiqua" w:hAnsi="Book Antiqua" w:cs="Tahoma"/>
        </w:rPr>
        <w:t>Contacts</w:t>
      </w:r>
      <w:proofErr w:type="spellEnd"/>
      <w:r w:rsidRPr="00FB74BD">
        <w:rPr>
          <w:rFonts w:ascii="Book Antiqua" w:hAnsi="Book Antiqua" w:cs="Tahoma"/>
        </w:rPr>
        <w:t>”. Τέλος, η Βουλγαρία επιδιώκει την προώθηση και αξιοποίηση μιας σειράς σχεδίων και προγραμμάτων που σχετίζονται με τον τουρισμό, όπως το EDEN (</w:t>
      </w:r>
      <w:proofErr w:type="spellStart"/>
      <w:r w:rsidRPr="00FB74BD">
        <w:rPr>
          <w:rFonts w:ascii="Book Antiqua" w:hAnsi="Book Antiqua" w:cs="Tahoma"/>
        </w:rPr>
        <w:t>European</w:t>
      </w:r>
      <w:proofErr w:type="spellEnd"/>
      <w:r w:rsidRPr="00FB74BD">
        <w:rPr>
          <w:rFonts w:ascii="Book Antiqua" w:hAnsi="Book Antiqua" w:cs="Tahoma"/>
        </w:rPr>
        <w:t xml:space="preserve"> </w:t>
      </w:r>
      <w:proofErr w:type="spellStart"/>
      <w:r w:rsidRPr="00FB74BD">
        <w:rPr>
          <w:rFonts w:ascii="Book Antiqua" w:hAnsi="Book Antiqua" w:cs="Tahoma"/>
        </w:rPr>
        <w:lastRenderedPageBreak/>
        <w:t>Destinations</w:t>
      </w:r>
      <w:proofErr w:type="spellEnd"/>
      <w:r w:rsidRPr="00FB74BD">
        <w:rPr>
          <w:rFonts w:ascii="Book Antiqua" w:hAnsi="Book Antiqua" w:cs="Tahoma"/>
        </w:rPr>
        <w:t xml:space="preserve"> of </w:t>
      </w:r>
      <w:proofErr w:type="spellStart"/>
      <w:r w:rsidRPr="00FB74BD">
        <w:rPr>
          <w:rFonts w:ascii="Book Antiqua" w:hAnsi="Book Antiqua" w:cs="Tahoma"/>
        </w:rPr>
        <w:t>Excellence</w:t>
      </w:r>
      <w:proofErr w:type="spellEnd"/>
      <w:r w:rsidRPr="00FB74BD">
        <w:rPr>
          <w:rFonts w:ascii="Book Antiqua" w:hAnsi="Book Antiqua" w:cs="Tahoma"/>
        </w:rPr>
        <w:t xml:space="preserve"> – προωθεί πρότυπα αναπτυξιακά μοντέλα βιώσιμου τουρισμού), το </w:t>
      </w:r>
      <w:proofErr w:type="spellStart"/>
      <w:r w:rsidRPr="00FB74BD">
        <w:rPr>
          <w:rFonts w:ascii="Book Antiqua" w:hAnsi="Book Antiqua" w:cs="Tahoma"/>
        </w:rPr>
        <w:t>Iron</w:t>
      </w:r>
      <w:proofErr w:type="spellEnd"/>
      <w:r w:rsidRPr="00FB74BD">
        <w:rPr>
          <w:rFonts w:ascii="Book Antiqua" w:hAnsi="Book Antiqua" w:cs="Tahoma"/>
        </w:rPr>
        <w:t xml:space="preserve"> </w:t>
      </w:r>
      <w:proofErr w:type="spellStart"/>
      <w:r w:rsidRPr="00FB74BD">
        <w:rPr>
          <w:rFonts w:ascii="Book Antiqua" w:hAnsi="Book Antiqua" w:cs="Tahoma"/>
        </w:rPr>
        <w:t>Curtain</w:t>
      </w:r>
      <w:proofErr w:type="spellEnd"/>
      <w:r w:rsidRPr="00FB74BD">
        <w:rPr>
          <w:rFonts w:ascii="Book Antiqua" w:hAnsi="Book Antiqua" w:cs="Tahoma"/>
        </w:rPr>
        <w:t xml:space="preserve"> </w:t>
      </w:r>
      <w:proofErr w:type="spellStart"/>
      <w:r w:rsidRPr="00FB74BD">
        <w:rPr>
          <w:rFonts w:ascii="Book Antiqua" w:hAnsi="Book Antiqua" w:cs="Tahoma"/>
        </w:rPr>
        <w:t>Trail</w:t>
      </w:r>
      <w:proofErr w:type="spellEnd"/>
      <w:r w:rsidRPr="00FB74BD">
        <w:rPr>
          <w:rFonts w:ascii="Book Antiqua" w:hAnsi="Book Antiqua" w:cs="Tahoma"/>
        </w:rPr>
        <w:t xml:space="preserve"> (http://www.ironcurtaintrail.eu/en/), μια οικολογική και πολιτιστική διαδρομή κατά μήκος του πρώην «σιδηρού παραπετάσματος», και το “</w:t>
      </w:r>
      <w:proofErr w:type="spellStart"/>
      <w:r w:rsidRPr="00FB74BD">
        <w:rPr>
          <w:rFonts w:ascii="Book Antiqua" w:hAnsi="Book Antiqua" w:cs="Tahoma"/>
        </w:rPr>
        <w:t>Route</w:t>
      </w:r>
      <w:proofErr w:type="spellEnd"/>
      <w:r w:rsidRPr="00FB74BD">
        <w:rPr>
          <w:rFonts w:ascii="Book Antiqua" w:hAnsi="Book Antiqua" w:cs="Tahoma"/>
        </w:rPr>
        <w:t xml:space="preserve"> of </w:t>
      </w:r>
      <w:proofErr w:type="spellStart"/>
      <w:r w:rsidRPr="00FB74BD">
        <w:rPr>
          <w:rFonts w:ascii="Book Antiqua" w:hAnsi="Book Antiqua" w:cs="Tahoma"/>
        </w:rPr>
        <w:t>the</w:t>
      </w:r>
      <w:proofErr w:type="spellEnd"/>
      <w:r w:rsidRPr="00FB74BD">
        <w:rPr>
          <w:rFonts w:ascii="Book Antiqua" w:hAnsi="Book Antiqua" w:cs="Tahoma"/>
        </w:rPr>
        <w:t xml:space="preserve"> </w:t>
      </w:r>
      <w:proofErr w:type="spellStart"/>
      <w:r w:rsidRPr="00FB74BD">
        <w:rPr>
          <w:rFonts w:ascii="Book Antiqua" w:hAnsi="Book Antiqua" w:cs="Tahoma"/>
        </w:rPr>
        <w:t>Emperors</w:t>
      </w:r>
      <w:proofErr w:type="spellEnd"/>
      <w:r w:rsidRPr="00FB74BD">
        <w:rPr>
          <w:rFonts w:ascii="Book Antiqua" w:hAnsi="Book Antiqua" w:cs="Tahoma"/>
        </w:rPr>
        <w:t xml:space="preserve"> Project”, το οποίο εστιάζει στην προβολή της ρωμαϊκής πολιτιστικής κληρονομιάς και καταστρώνεται με τη συνεργασία τεσσάρων γειτονικών χωρών (Βουλγαρίας, Σερβίας, Ρουμανίας και Κροατίας).</w:t>
      </w:r>
    </w:p>
    <w:p w:rsidR="00127B9A" w:rsidRPr="00C21D1C" w:rsidRDefault="00127B9A" w:rsidP="00127B9A">
      <w:pPr>
        <w:jc w:val="both"/>
        <w:outlineLvl w:val="0"/>
        <w:rPr>
          <w:rFonts w:ascii="Book Antiqua" w:hAnsi="Book Antiqua" w:cs="Tahoma"/>
          <w:b/>
          <w:color w:val="9BBB59" w:themeColor="accent3"/>
          <w:sz w:val="26"/>
          <w:szCs w:val="26"/>
          <w:u w:val="single"/>
        </w:rPr>
      </w:pPr>
      <w:bookmarkStart w:id="9" w:name="_Toc315701927"/>
      <w:r w:rsidRPr="00C21D1C">
        <w:rPr>
          <w:rFonts w:ascii="Book Antiqua" w:hAnsi="Book Antiqua" w:cs="Tahoma"/>
          <w:b/>
          <w:color w:val="9BBB59" w:themeColor="accent3"/>
          <w:sz w:val="26"/>
          <w:szCs w:val="26"/>
          <w:u w:val="single"/>
        </w:rPr>
        <w:t>ΕΝΕΡΓΕΙΑ</w:t>
      </w:r>
      <w:bookmarkEnd w:id="9"/>
    </w:p>
    <w:p w:rsidR="00127B9A" w:rsidRPr="00F63B57" w:rsidRDefault="00127B9A" w:rsidP="00127B9A">
      <w:pPr>
        <w:jc w:val="both"/>
        <w:rPr>
          <w:rFonts w:ascii="Book Antiqua" w:hAnsi="Book Antiqua" w:cs="All Times New Roman"/>
        </w:rPr>
      </w:pPr>
      <w:r>
        <w:rPr>
          <w:rFonts w:ascii="Book Antiqua" w:hAnsi="Book Antiqua" w:cs="All Times New Roman"/>
          <w:vanish/>
        </w:rPr>
        <w:t xml:space="preserve">ομικσμρnchev ον κονδυλημρκοpean Affairs and EU FUnds </w:t>
      </w:r>
    </w:p>
    <w:p w:rsidR="00127B9A" w:rsidRPr="0001032C" w:rsidRDefault="00127B9A" w:rsidP="00127B9A">
      <w:pPr>
        <w:pBdr>
          <w:top w:val="single" w:sz="4" w:space="1" w:color="000000"/>
          <w:left w:val="single" w:sz="4" w:space="0" w:color="000000"/>
          <w:bottom w:val="single" w:sz="4" w:space="1" w:color="000000"/>
          <w:right w:val="single" w:sz="4" w:space="0" w:color="000000"/>
        </w:pBdr>
        <w:shd w:val="clear" w:color="auto" w:fill="CCECFF"/>
        <w:jc w:val="both"/>
        <w:outlineLvl w:val="2"/>
        <w:rPr>
          <w:rFonts w:ascii="Book Antiqua" w:hAnsi="Book Antiqua"/>
          <w:b/>
        </w:rPr>
      </w:pPr>
      <w:r>
        <w:rPr>
          <w:rFonts w:ascii="Book Antiqua" w:hAnsi="Book Antiqua"/>
          <w:b/>
        </w:rPr>
        <w:t xml:space="preserve"> </w:t>
      </w:r>
      <w:bookmarkStart w:id="10" w:name="_Toc315701928"/>
      <w:r>
        <w:rPr>
          <w:rFonts w:ascii="Book Antiqua" w:hAnsi="Book Antiqua"/>
          <w:b/>
        </w:rPr>
        <w:t xml:space="preserve"> </w:t>
      </w:r>
      <w:r w:rsidRPr="0001032C">
        <w:rPr>
          <w:rFonts w:ascii="Book Antiqua" w:hAnsi="Book Antiqua"/>
          <w:b/>
        </w:rPr>
        <w:t xml:space="preserve">Μεγάλη επένδυση της </w:t>
      </w:r>
      <w:proofErr w:type="spellStart"/>
      <w:r w:rsidRPr="0001032C">
        <w:rPr>
          <w:rFonts w:ascii="Book Antiqua" w:hAnsi="Book Antiqua" w:cs="Tahoma"/>
          <w:b/>
        </w:rPr>
        <w:t>Lukoil</w:t>
      </w:r>
      <w:proofErr w:type="spellEnd"/>
      <w:r w:rsidRPr="0001032C">
        <w:rPr>
          <w:rFonts w:ascii="Book Antiqua" w:hAnsi="Book Antiqua" w:cs="Tahoma"/>
          <w:b/>
        </w:rPr>
        <w:t xml:space="preserve"> στο Μπουργκάς</w:t>
      </w:r>
      <w:bookmarkEnd w:id="10"/>
    </w:p>
    <w:p w:rsidR="00E767F7" w:rsidRDefault="00127B9A" w:rsidP="00E767F7">
      <w:pPr>
        <w:ind w:firstLine="720"/>
        <w:rPr>
          <w:rFonts w:ascii="Book Antiqua" w:hAnsi="Book Antiqua" w:cs="Tahoma"/>
          <w:b/>
          <w:lang w:val="en-US"/>
        </w:rPr>
      </w:pPr>
      <w:r>
        <w:rPr>
          <w:rFonts w:ascii="Book Antiqua" w:hAnsi="Book Antiqua" w:cs="Tahoma"/>
          <w:b/>
        </w:rPr>
        <w:t xml:space="preserve">                                                    </w:t>
      </w:r>
    </w:p>
    <w:p w:rsidR="00127B9A" w:rsidRPr="00E767F7" w:rsidRDefault="00127B9A" w:rsidP="00E767F7">
      <w:pPr>
        <w:ind w:firstLine="720"/>
        <w:rPr>
          <w:rFonts w:ascii="Book Antiqua" w:hAnsi="Book Antiqua" w:cs="Tahoma"/>
          <w:b/>
        </w:rPr>
      </w:pPr>
      <w:r>
        <w:rPr>
          <w:rFonts w:ascii="Book Antiqua" w:hAnsi="Book Antiqua" w:cs="Tahoma"/>
        </w:rPr>
        <w:t xml:space="preserve">Σύμφωνα με ειδησεογραφικές πηγές, </w:t>
      </w:r>
      <w:r w:rsidRPr="004A553D">
        <w:rPr>
          <w:rFonts w:ascii="Book Antiqua" w:hAnsi="Book Antiqua" w:cs="Tahoma"/>
        </w:rPr>
        <w:t xml:space="preserve">τα διυλιστήρια </w:t>
      </w:r>
      <w:proofErr w:type="spellStart"/>
      <w:r w:rsidRPr="004A553D">
        <w:rPr>
          <w:rFonts w:ascii="Book Antiqua" w:hAnsi="Book Antiqua" w:cs="Tahoma"/>
        </w:rPr>
        <w:t>Lukoil</w:t>
      </w:r>
      <w:proofErr w:type="spellEnd"/>
      <w:r w:rsidRPr="004A553D">
        <w:rPr>
          <w:rFonts w:ascii="Book Antiqua" w:hAnsi="Book Antiqua" w:cs="Tahoma"/>
        </w:rPr>
        <w:t xml:space="preserve"> </w:t>
      </w:r>
      <w:proofErr w:type="spellStart"/>
      <w:r w:rsidRPr="004A553D">
        <w:rPr>
          <w:rFonts w:ascii="Book Antiqua" w:hAnsi="Book Antiqua" w:cs="Tahoma"/>
        </w:rPr>
        <w:t>Neftochim</w:t>
      </w:r>
      <w:proofErr w:type="spellEnd"/>
      <w:r w:rsidRPr="004A553D">
        <w:rPr>
          <w:rFonts w:ascii="Book Antiqua" w:hAnsi="Book Antiqua" w:cs="Tahoma"/>
        </w:rPr>
        <w:t xml:space="preserve"> σε συνεργασία με την  ιταλική εταιρεία </w:t>
      </w:r>
      <w:proofErr w:type="spellStart"/>
      <w:r w:rsidRPr="004A553D">
        <w:rPr>
          <w:rFonts w:ascii="Book Antiqua" w:hAnsi="Book Antiqua" w:cs="Tahoma"/>
        </w:rPr>
        <w:t>Technip</w:t>
      </w:r>
      <w:proofErr w:type="spellEnd"/>
      <w:r w:rsidRPr="004A553D">
        <w:rPr>
          <w:rFonts w:ascii="Book Antiqua" w:hAnsi="Book Antiqua" w:cs="Tahoma"/>
        </w:rPr>
        <w:t xml:space="preserve">, πρόκειται σύντομα να υλοποιήσουν </w:t>
      </w:r>
      <w:r>
        <w:rPr>
          <w:rFonts w:ascii="Book Antiqua" w:hAnsi="Book Antiqua" w:cs="Tahoma"/>
        </w:rPr>
        <w:t xml:space="preserve">στο Μπουργκάς </w:t>
      </w:r>
      <w:r w:rsidRPr="004A553D">
        <w:rPr>
          <w:rFonts w:ascii="Book Antiqua" w:hAnsi="Book Antiqua" w:cs="Tahoma"/>
        </w:rPr>
        <w:t xml:space="preserve">επένδυση για την κατασκευή μεγάλης εγκατάστασης καταλύτη </w:t>
      </w:r>
      <w:proofErr w:type="spellStart"/>
      <w:r w:rsidRPr="004A553D">
        <w:rPr>
          <w:rFonts w:ascii="Book Antiqua" w:hAnsi="Book Antiqua" w:cs="Tahoma"/>
        </w:rPr>
        <w:t>υδρογονοπυρόλησης</w:t>
      </w:r>
      <w:proofErr w:type="spellEnd"/>
      <w:r w:rsidRPr="004A553D">
        <w:rPr>
          <w:rFonts w:ascii="Book Antiqua" w:hAnsi="Book Antiqua" w:cs="Tahoma"/>
        </w:rPr>
        <w:t xml:space="preserve"> που θα επεξεργάζεται τα απόβλητα πετρελαίου. Η εν λόγω  επένδυση</w:t>
      </w:r>
      <w:r>
        <w:rPr>
          <w:rFonts w:ascii="Book Antiqua" w:hAnsi="Book Antiqua" w:cs="Tahoma"/>
        </w:rPr>
        <w:t>,</w:t>
      </w:r>
      <w:r w:rsidRPr="004A553D">
        <w:rPr>
          <w:rFonts w:ascii="Book Antiqua" w:hAnsi="Book Antiqua" w:cs="Tahoma"/>
        </w:rPr>
        <w:t xml:space="preserve">  ύψους 1,5 </w:t>
      </w:r>
      <w:proofErr w:type="spellStart"/>
      <w:r w:rsidRPr="004A553D">
        <w:rPr>
          <w:rFonts w:ascii="Book Antiqua" w:hAnsi="Book Antiqua" w:cs="Tahoma"/>
        </w:rPr>
        <w:t>δισεκ</w:t>
      </w:r>
      <w:proofErr w:type="spellEnd"/>
      <w:r w:rsidRPr="004A553D">
        <w:rPr>
          <w:rFonts w:ascii="Book Antiqua" w:hAnsi="Book Antiqua" w:cs="Tahoma"/>
        </w:rPr>
        <w:t xml:space="preserve">. δολαρίων, </w:t>
      </w:r>
      <w:r>
        <w:rPr>
          <w:rFonts w:ascii="Book Antiqua" w:hAnsi="Book Antiqua" w:cs="Tahoma"/>
        </w:rPr>
        <w:t xml:space="preserve">θα </w:t>
      </w:r>
      <w:r w:rsidRPr="004A553D">
        <w:rPr>
          <w:rFonts w:ascii="Book Antiqua" w:hAnsi="Book Antiqua" w:cs="Tahoma"/>
        </w:rPr>
        <w:t xml:space="preserve">αντιπροσωπεύει  το 10% των σχεδιαζόμενων επενδύσεων της ρωσικής εταιρείας </w:t>
      </w:r>
      <w:proofErr w:type="spellStart"/>
      <w:r w:rsidRPr="004A553D">
        <w:rPr>
          <w:rFonts w:ascii="Book Antiqua" w:hAnsi="Book Antiqua" w:cs="Tahoma"/>
        </w:rPr>
        <w:t>Lukoil</w:t>
      </w:r>
      <w:proofErr w:type="spellEnd"/>
      <w:r w:rsidRPr="004A553D">
        <w:rPr>
          <w:rFonts w:ascii="Book Antiqua" w:hAnsi="Book Antiqua" w:cs="Tahoma"/>
        </w:rPr>
        <w:t xml:space="preserve"> σε παγκόσμιο επίπεδο για τα επόμενα 10 χρόνια.</w:t>
      </w:r>
      <w:r>
        <w:rPr>
          <w:rFonts w:ascii="Book Antiqua" w:hAnsi="Book Antiqua" w:cs="Tahoma"/>
        </w:rPr>
        <w:t xml:space="preserve"> </w:t>
      </w:r>
      <w:r w:rsidRPr="004A553D">
        <w:rPr>
          <w:rFonts w:ascii="Book Antiqua" w:hAnsi="Book Antiqua" w:cs="Tahoma"/>
        </w:rPr>
        <w:t xml:space="preserve">Η σύμβαση με την </w:t>
      </w:r>
      <w:proofErr w:type="spellStart"/>
      <w:r w:rsidRPr="004A553D">
        <w:rPr>
          <w:rFonts w:ascii="Book Antiqua" w:hAnsi="Book Antiqua" w:cs="Tahoma"/>
        </w:rPr>
        <w:t>Techn</w:t>
      </w:r>
      <w:r>
        <w:rPr>
          <w:rFonts w:ascii="Book Antiqua" w:hAnsi="Book Antiqua" w:cs="Tahoma"/>
        </w:rPr>
        <w:t>ip</w:t>
      </w:r>
      <w:proofErr w:type="spellEnd"/>
      <w:r>
        <w:rPr>
          <w:rFonts w:ascii="Book Antiqua" w:hAnsi="Book Antiqua" w:cs="Tahoma"/>
        </w:rPr>
        <w:t xml:space="preserve">, αξίας €950 εκατ., υπεγράφη </w:t>
      </w:r>
      <w:r w:rsidRPr="004A553D">
        <w:rPr>
          <w:rFonts w:ascii="Book Antiqua" w:hAnsi="Book Antiqua" w:cs="Tahoma"/>
        </w:rPr>
        <w:t>στις 25/01</w:t>
      </w:r>
      <w:r>
        <w:rPr>
          <w:rFonts w:ascii="Book Antiqua" w:hAnsi="Book Antiqua" w:cs="Tahoma"/>
        </w:rPr>
        <w:t xml:space="preserve"> </w:t>
      </w:r>
      <w:r w:rsidRPr="004A553D">
        <w:rPr>
          <w:rFonts w:ascii="Book Antiqua" w:hAnsi="Book Antiqua" w:cs="Tahoma"/>
        </w:rPr>
        <w:t xml:space="preserve">στο Μπουργκάς της Μαύρης Θάλασσας παρουσία του πρώτου αντιπροέδρου της </w:t>
      </w:r>
      <w:proofErr w:type="spellStart"/>
      <w:r w:rsidRPr="004A553D">
        <w:rPr>
          <w:rFonts w:ascii="Book Antiqua" w:hAnsi="Book Antiqua" w:cs="Tahoma"/>
        </w:rPr>
        <w:t>Lukoil</w:t>
      </w:r>
      <w:proofErr w:type="spellEnd"/>
      <w:r w:rsidRPr="004A553D">
        <w:rPr>
          <w:rFonts w:ascii="Book Antiqua" w:hAnsi="Book Antiqua" w:cs="Tahoma"/>
        </w:rPr>
        <w:t xml:space="preserve"> </w:t>
      </w:r>
      <w:r>
        <w:rPr>
          <w:rFonts w:ascii="Book Antiqua" w:hAnsi="Book Antiqua" w:cs="Tahoma"/>
        </w:rPr>
        <w:t xml:space="preserve">κ. </w:t>
      </w:r>
      <w:r>
        <w:rPr>
          <w:rFonts w:ascii="Book Antiqua" w:hAnsi="Book Antiqua" w:cs="Tahoma"/>
          <w:lang w:val="en-US"/>
        </w:rPr>
        <w:t>V</w:t>
      </w:r>
      <w:proofErr w:type="spellStart"/>
      <w:r w:rsidRPr="004A553D">
        <w:rPr>
          <w:rFonts w:ascii="Book Antiqua" w:hAnsi="Book Antiqua" w:cs="Tahoma"/>
        </w:rPr>
        <w:t>ladimir</w:t>
      </w:r>
      <w:proofErr w:type="spellEnd"/>
      <w:r w:rsidRPr="004A553D">
        <w:rPr>
          <w:rFonts w:ascii="Book Antiqua" w:hAnsi="Book Antiqua" w:cs="Tahoma"/>
        </w:rPr>
        <w:t xml:space="preserve"> </w:t>
      </w:r>
      <w:proofErr w:type="spellStart"/>
      <w:r w:rsidRPr="004A553D">
        <w:rPr>
          <w:rFonts w:ascii="Book Antiqua" w:hAnsi="Book Antiqua" w:cs="Tahoma"/>
        </w:rPr>
        <w:t>Nekrasov</w:t>
      </w:r>
      <w:proofErr w:type="spellEnd"/>
      <w:r w:rsidRPr="004A553D">
        <w:rPr>
          <w:rFonts w:ascii="Book Antiqua" w:hAnsi="Book Antiqua" w:cs="Tahoma"/>
        </w:rPr>
        <w:t xml:space="preserve">, του διευθύνοντος συμβούλου της </w:t>
      </w:r>
      <w:proofErr w:type="spellStart"/>
      <w:r w:rsidRPr="004A553D">
        <w:rPr>
          <w:rFonts w:ascii="Book Antiqua" w:hAnsi="Book Antiqua" w:cs="Tahoma"/>
        </w:rPr>
        <w:t>Lukoil</w:t>
      </w:r>
      <w:proofErr w:type="spellEnd"/>
      <w:r w:rsidRPr="004A553D">
        <w:rPr>
          <w:rFonts w:ascii="Book Antiqua" w:hAnsi="Book Antiqua" w:cs="Tahoma"/>
        </w:rPr>
        <w:t xml:space="preserve"> </w:t>
      </w:r>
      <w:proofErr w:type="spellStart"/>
      <w:r w:rsidRPr="004A553D">
        <w:rPr>
          <w:rFonts w:ascii="Book Antiqua" w:hAnsi="Book Antiqua" w:cs="Tahoma"/>
        </w:rPr>
        <w:t>Bulgaria</w:t>
      </w:r>
      <w:proofErr w:type="spellEnd"/>
      <w:r w:rsidRPr="004A553D">
        <w:rPr>
          <w:rFonts w:ascii="Book Antiqua" w:hAnsi="Book Antiqua" w:cs="Tahoma"/>
        </w:rPr>
        <w:t xml:space="preserve"> </w:t>
      </w:r>
      <w:r>
        <w:rPr>
          <w:rFonts w:ascii="Book Antiqua" w:hAnsi="Book Antiqua" w:cs="Tahoma"/>
        </w:rPr>
        <w:t xml:space="preserve">κ. </w:t>
      </w:r>
      <w:proofErr w:type="spellStart"/>
      <w:r w:rsidRPr="004A553D">
        <w:rPr>
          <w:rFonts w:ascii="Book Antiqua" w:hAnsi="Book Antiqua" w:cs="Tahoma"/>
        </w:rPr>
        <w:t>Valentin</w:t>
      </w:r>
      <w:proofErr w:type="spellEnd"/>
      <w:r w:rsidRPr="004A553D">
        <w:rPr>
          <w:rFonts w:ascii="Book Antiqua" w:hAnsi="Book Antiqua" w:cs="Tahoma"/>
        </w:rPr>
        <w:t xml:space="preserve"> </w:t>
      </w:r>
      <w:proofErr w:type="spellStart"/>
      <w:r w:rsidRPr="004A553D">
        <w:rPr>
          <w:rFonts w:ascii="Book Antiqua" w:hAnsi="Book Antiqua" w:cs="Tahoma"/>
        </w:rPr>
        <w:t>Zlatev</w:t>
      </w:r>
      <w:proofErr w:type="spellEnd"/>
      <w:r w:rsidRPr="004A553D">
        <w:rPr>
          <w:rFonts w:ascii="Book Antiqua" w:hAnsi="Book Antiqua" w:cs="Tahoma"/>
        </w:rPr>
        <w:t xml:space="preserve">, του αντιπροέδρου της βουλγαρικής κυβέρνησης και υπουργού Οικονομικών </w:t>
      </w:r>
      <w:r>
        <w:rPr>
          <w:rFonts w:ascii="Book Antiqua" w:hAnsi="Book Antiqua" w:cs="Tahoma"/>
        </w:rPr>
        <w:t xml:space="preserve">κ. </w:t>
      </w:r>
      <w:r w:rsidRPr="004A553D">
        <w:rPr>
          <w:rFonts w:ascii="Book Antiqua" w:hAnsi="Book Antiqua" w:cs="Tahoma"/>
        </w:rPr>
        <w:t xml:space="preserve">Συμεών </w:t>
      </w:r>
      <w:proofErr w:type="spellStart"/>
      <w:r w:rsidRPr="004A553D">
        <w:rPr>
          <w:rFonts w:ascii="Book Antiqua" w:hAnsi="Book Antiqua" w:cs="Tahoma"/>
        </w:rPr>
        <w:t>Ντιάνκοφ</w:t>
      </w:r>
      <w:proofErr w:type="spellEnd"/>
      <w:r w:rsidRPr="004A553D">
        <w:rPr>
          <w:rFonts w:ascii="Book Antiqua" w:hAnsi="Book Antiqua" w:cs="Tahoma"/>
        </w:rPr>
        <w:t xml:space="preserve">, του υπουργού Οικονομίας, Ενέργειας και Τουρισμού </w:t>
      </w:r>
      <w:r>
        <w:rPr>
          <w:rFonts w:ascii="Book Antiqua" w:hAnsi="Book Antiqua" w:cs="Tahoma"/>
        </w:rPr>
        <w:t xml:space="preserve">κ. </w:t>
      </w:r>
      <w:proofErr w:type="spellStart"/>
      <w:r w:rsidRPr="004A553D">
        <w:rPr>
          <w:rFonts w:ascii="Book Antiqua" w:hAnsi="Book Antiqua" w:cs="Tahoma"/>
        </w:rPr>
        <w:t>Τράιτσο</w:t>
      </w:r>
      <w:proofErr w:type="spellEnd"/>
      <w:r w:rsidRPr="004A553D">
        <w:rPr>
          <w:rFonts w:ascii="Book Antiqua" w:hAnsi="Book Antiqua" w:cs="Tahoma"/>
        </w:rPr>
        <w:t xml:space="preserve"> </w:t>
      </w:r>
      <w:proofErr w:type="spellStart"/>
      <w:r w:rsidRPr="004A553D">
        <w:rPr>
          <w:rFonts w:ascii="Book Antiqua" w:hAnsi="Book Antiqua" w:cs="Tahoma"/>
        </w:rPr>
        <w:t>Τράικοφ</w:t>
      </w:r>
      <w:proofErr w:type="spellEnd"/>
      <w:r w:rsidRPr="004A553D">
        <w:rPr>
          <w:rFonts w:ascii="Book Antiqua" w:hAnsi="Book Antiqua" w:cs="Tahoma"/>
        </w:rPr>
        <w:t xml:space="preserve"> και του Δημάρχου Μπουργκάς </w:t>
      </w:r>
      <w:r>
        <w:rPr>
          <w:rFonts w:ascii="Book Antiqua" w:hAnsi="Book Antiqua" w:cs="Tahoma"/>
        </w:rPr>
        <w:t xml:space="preserve">κ. </w:t>
      </w:r>
      <w:proofErr w:type="spellStart"/>
      <w:r>
        <w:rPr>
          <w:rFonts w:ascii="Book Antiqua" w:hAnsi="Book Antiqua" w:cs="Tahoma"/>
        </w:rPr>
        <w:t>Ντίμιτα</w:t>
      </w:r>
      <w:r w:rsidRPr="004A553D">
        <w:rPr>
          <w:rFonts w:ascii="Book Antiqua" w:hAnsi="Book Antiqua" w:cs="Tahoma"/>
        </w:rPr>
        <w:t>ρ</w:t>
      </w:r>
      <w:proofErr w:type="spellEnd"/>
      <w:r w:rsidRPr="004A553D">
        <w:rPr>
          <w:rFonts w:ascii="Book Antiqua" w:hAnsi="Book Antiqua" w:cs="Tahoma"/>
        </w:rPr>
        <w:t xml:space="preserve"> </w:t>
      </w:r>
      <w:proofErr w:type="spellStart"/>
      <w:r w:rsidRPr="004A553D">
        <w:rPr>
          <w:rFonts w:ascii="Book Antiqua" w:hAnsi="Book Antiqua" w:cs="Tahoma"/>
        </w:rPr>
        <w:t>Ν</w:t>
      </w:r>
      <w:r>
        <w:rPr>
          <w:rFonts w:ascii="Book Antiqua" w:hAnsi="Book Antiqua" w:cs="Tahoma"/>
        </w:rPr>
        <w:t>ικόλοφ</w:t>
      </w:r>
      <w:proofErr w:type="spellEnd"/>
      <w:r>
        <w:rPr>
          <w:rFonts w:ascii="Book Antiqua" w:hAnsi="Book Antiqua" w:cs="Tahoma"/>
        </w:rPr>
        <w:t>.</w:t>
      </w:r>
    </w:p>
    <w:p w:rsidR="00127B9A" w:rsidRPr="004A553D" w:rsidRDefault="00127B9A" w:rsidP="00127B9A">
      <w:pPr>
        <w:ind w:firstLine="720"/>
        <w:jc w:val="both"/>
        <w:rPr>
          <w:rFonts w:ascii="Book Antiqua" w:hAnsi="Book Antiqua" w:cs="Tahoma"/>
        </w:rPr>
      </w:pPr>
      <w:r w:rsidRPr="004A553D">
        <w:rPr>
          <w:rFonts w:ascii="Book Antiqua" w:hAnsi="Book Antiqua" w:cs="Tahoma"/>
        </w:rPr>
        <w:t>Ο νέος σταθμός θα είναι ο δέκατος παγκοσμίως και ο μεγαλύτερος στην ανατολική Ευρώπη, ενώ παρόμοιοι σταθμοί υπάρχουν ήδη στις ΗΠΑ το Μεξικό, τον Καναδά, την Πολω</w:t>
      </w:r>
      <w:r>
        <w:rPr>
          <w:rFonts w:ascii="Book Antiqua" w:hAnsi="Book Antiqua" w:cs="Tahoma"/>
        </w:rPr>
        <w:t>νία, την Ιαπωνία και το Κουβέιτ</w:t>
      </w:r>
      <w:r w:rsidRPr="004A553D">
        <w:rPr>
          <w:rFonts w:ascii="Book Antiqua" w:hAnsi="Book Antiqua" w:cs="Tahoma"/>
        </w:rPr>
        <w:t xml:space="preserve">. Όπως ανακοίνωσε η </w:t>
      </w:r>
      <w:proofErr w:type="spellStart"/>
      <w:r w:rsidRPr="004A553D">
        <w:rPr>
          <w:rFonts w:ascii="Book Antiqua" w:hAnsi="Book Antiqua" w:cs="Tahoma"/>
        </w:rPr>
        <w:t>Lukoil</w:t>
      </w:r>
      <w:proofErr w:type="spellEnd"/>
      <w:r w:rsidRPr="004A553D">
        <w:rPr>
          <w:rFonts w:ascii="Book Antiqua" w:hAnsi="Book Antiqua" w:cs="Tahoma"/>
        </w:rPr>
        <w:t xml:space="preserve">, το σχέδιο της κατασκευής πρόκειται να δημιουργήσει 3.000 νέες θέσεις εργασίας στην περιοχή του Μπουργκάς, στους τομείς των  κατασκευών, των  μεταφορών και των </w:t>
      </w:r>
      <w:proofErr w:type="spellStart"/>
      <w:r w:rsidRPr="004A553D">
        <w:rPr>
          <w:rFonts w:ascii="Book Antiqua" w:hAnsi="Book Antiqua" w:cs="Tahoma"/>
        </w:rPr>
        <w:t>logistics</w:t>
      </w:r>
      <w:proofErr w:type="spellEnd"/>
      <w:r w:rsidRPr="004A553D">
        <w:rPr>
          <w:rFonts w:ascii="Book Antiqua" w:hAnsi="Book Antiqua" w:cs="Tahoma"/>
        </w:rPr>
        <w:t>. Με την ολοκλήρωσή του, ο νέος σταθμός θα μειώσει σημαντικά τις εκπομπές αερίων  φαινομένου του θερμοκηπίου των διυλιστηρίων, ενώ θα αντικαταστήσει τις υφιστάμενες εγκαταστάσεις επεξεργασίας αποβλήτων που χρησιμοποιούν παλαιότερη τεχνολογία.</w:t>
      </w:r>
    </w:p>
    <w:p w:rsidR="00127B9A" w:rsidRPr="00A509BF" w:rsidRDefault="00127B9A" w:rsidP="00127B9A">
      <w:pPr>
        <w:ind w:firstLine="720"/>
        <w:rPr>
          <w:rFonts w:ascii="Book Antiqua" w:hAnsi="Book Antiqua" w:cs="Tahoma"/>
          <w:b/>
        </w:rPr>
      </w:pPr>
    </w:p>
    <w:p w:rsidR="00127B9A" w:rsidRDefault="00127B9A" w:rsidP="00127B9A">
      <w:pPr>
        <w:jc w:val="both"/>
        <w:outlineLvl w:val="0"/>
        <w:rPr>
          <w:rStyle w:val="apple-style-span"/>
          <w:rFonts w:ascii="Book Antiqua" w:hAnsi="Book Antiqua" w:cs="Arial"/>
          <w:color w:val="000000"/>
          <w:shd w:val="clear" w:color="auto" w:fill="FFFFFF"/>
        </w:rPr>
      </w:pPr>
    </w:p>
    <w:p w:rsidR="00127B9A" w:rsidRDefault="00127B9A" w:rsidP="00127B9A">
      <w:pPr>
        <w:jc w:val="both"/>
        <w:outlineLvl w:val="0"/>
        <w:rPr>
          <w:rStyle w:val="apple-style-span"/>
          <w:rFonts w:ascii="Book Antiqua" w:hAnsi="Book Antiqua" w:cs="Arial"/>
          <w:color w:val="000000"/>
          <w:shd w:val="clear" w:color="auto" w:fill="FFFFFF"/>
        </w:rPr>
      </w:pPr>
    </w:p>
    <w:p w:rsidR="00127B9A" w:rsidRDefault="00127B9A" w:rsidP="00127B9A">
      <w:pPr>
        <w:jc w:val="both"/>
        <w:outlineLvl w:val="0"/>
        <w:rPr>
          <w:rStyle w:val="apple-style-span"/>
          <w:rFonts w:ascii="Book Antiqua" w:hAnsi="Book Antiqua" w:cs="Arial"/>
          <w:color w:val="000000"/>
          <w:shd w:val="clear" w:color="auto" w:fill="FFFFFF"/>
        </w:rPr>
      </w:pPr>
    </w:p>
    <w:p w:rsidR="00E767F7" w:rsidRDefault="00E767F7" w:rsidP="00127B9A">
      <w:pPr>
        <w:jc w:val="both"/>
        <w:outlineLvl w:val="0"/>
        <w:rPr>
          <w:rFonts w:ascii="Book Antiqua" w:hAnsi="Book Antiqua" w:cs="Tahoma"/>
          <w:b/>
          <w:color w:val="9BBB59" w:themeColor="accent3"/>
          <w:sz w:val="26"/>
          <w:szCs w:val="26"/>
          <w:u w:val="single"/>
          <w:lang w:val="en-US"/>
        </w:rPr>
      </w:pPr>
      <w:bookmarkStart w:id="11" w:name="_Toc315701929"/>
    </w:p>
    <w:p w:rsidR="00127B9A" w:rsidRPr="00C21D1C" w:rsidRDefault="00127B9A" w:rsidP="00127B9A">
      <w:pPr>
        <w:jc w:val="both"/>
        <w:outlineLvl w:val="0"/>
        <w:rPr>
          <w:rFonts w:ascii="Book Antiqua" w:hAnsi="Book Antiqua" w:cs="Tahoma"/>
          <w:b/>
          <w:color w:val="9BBB59" w:themeColor="accent3"/>
          <w:sz w:val="26"/>
          <w:szCs w:val="26"/>
          <w:u w:val="single"/>
        </w:rPr>
      </w:pPr>
      <w:r w:rsidRPr="00C21D1C">
        <w:rPr>
          <w:rFonts w:ascii="Book Antiqua" w:hAnsi="Book Antiqua" w:cs="Tahoma"/>
          <w:b/>
          <w:color w:val="9BBB59" w:themeColor="accent3"/>
          <w:sz w:val="26"/>
          <w:szCs w:val="26"/>
          <w:u w:val="single"/>
        </w:rPr>
        <w:lastRenderedPageBreak/>
        <w:t>ΚΑΤΑΣΚΕΥΑΣΤΙΚΟΣ ΚΛΑΔΟΣ</w:t>
      </w:r>
      <w:bookmarkEnd w:id="11"/>
    </w:p>
    <w:p w:rsidR="00127B9A" w:rsidRPr="00F63B57" w:rsidRDefault="00127B9A" w:rsidP="00127B9A">
      <w:pPr>
        <w:jc w:val="both"/>
        <w:rPr>
          <w:rFonts w:ascii="Book Antiqua" w:hAnsi="Book Antiqua" w:cs="All Times New Roman"/>
        </w:rPr>
      </w:pPr>
      <w:r>
        <w:rPr>
          <w:rFonts w:ascii="Book Antiqua" w:hAnsi="Book Antiqua" w:cs="All Times New Roman"/>
          <w:vanish/>
        </w:rPr>
        <w:t xml:space="preserve">ομικσμρnchev ον κονδυλημρκοpean Affairs and EU FUnds </w:t>
      </w:r>
    </w:p>
    <w:p w:rsidR="00127B9A" w:rsidRPr="00D14773" w:rsidRDefault="00127B9A" w:rsidP="00127B9A">
      <w:pPr>
        <w:pBdr>
          <w:top w:val="single" w:sz="4" w:space="1" w:color="000000"/>
          <w:left w:val="single" w:sz="4" w:space="0" w:color="000000"/>
          <w:bottom w:val="single" w:sz="4" w:space="1" w:color="000000"/>
          <w:right w:val="single" w:sz="4" w:space="0" w:color="000000"/>
        </w:pBdr>
        <w:shd w:val="clear" w:color="auto" w:fill="CCECFF"/>
        <w:jc w:val="both"/>
        <w:outlineLvl w:val="2"/>
        <w:rPr>
          <w:rStyle w:val="apple-style-span"/>
          <w:rFonts w:ascii="Book Antiqua" w:hAnsi="Book Antiqua"/>
          <w:b/>
          <w:shd w:val="clear" w:color="auto" w:fill="FFFFFF"/>
        </w:rPr>
      </w:pPr>
      <w:r>
        <w:rPr>
          <w:rFonts w:ascii="Book Antiqua" w:hAnsi="Book Antiqua"/>
          <w:b/>
        </w:rPr>
        <w:t xml:space="preserve"> </w:t>
      </w:r>
      <w:bookmarkStart w:id="12" w:name="_Toc315701930"/>
      <w:r>
        <w:rPr>
          <w:rFonts w:ascii="Book Antiqua" w:hAnsi="Book Antiqua"/>
          <w:b/>
        </w:rPr>
        <w:t xml:space="preserve"> Επιβράδυνση της κατασκευαστικής δραστηριότητας</w:t>
      </w:r>
      <w:bookmarkEnd w:id="12"/>
    </w:p>
    <w:p w:rsidR="00127B9A" w:rsidRDefault="00127B9A" w:rsidP="00127B9A">
      <w:pPr>
        <w:rPr>
          <w:rFonts w:ascii="Book Antiqua" w:hAnsi="Book Antiqua" w:cs="Tahoma"/>
          <w:b/>
        </w:rPr>
      </w:pPr>
      <w:r>
        <w:rPr>
          <w:rFonts w:ascii="Book Antiqua" w:hAnsi="Book Antiqua" w:cs="Tahoma"/>
          <w:b/>
        </w:rPr>
        <w:t xml:space="preserve">                             </w:t>
      </w:r>
    </w:p>
    <w:p w:rsidR="00127B9A" w:rsidRDefault="00127B9A" w:rsidP="00127B9A">
      <w:pPr>
        <w:ind w:firstLine="720"/>
        <w:jc w:val="both"/>
        <w:rPr>
          <w:rFonts w:ascii="Book Antiqua" w:hAnsi="Book Antiqua" w:cs="All Times New Roman"/>
        </w:rPr>
      </w:pPr>
      <w:r>
        <w:rPr>
          <w:rFonts w:ascii="Book Antiqua" w:hAnsi="Book Antiqua" w:cs="All Times New Roman"/>
        </w:rPr>
        <w:t>Η κατασκευαστική δραστηριότητα</w:t>
      </w:r>
      <w:r w:rsidRPr="001513CD">
        <w:rPr>
          <w:rFonts w:ascii="Book Antiqua" w:hAnsi="Book Antiqua" w:cs="All Times New Roman"/>
        </w:rPr>
        <w:t xml:space="preserve"> κινήθη</w:t>
      </w:r>
      <w:r>
        <w:rPr>
          <w:rFonts w:ascii="Book Antiqua" w:hAnsi="Book Antiqua" w:cs="All Times New Roman"/>
        </w:rPr>
        <w:t xml:space="preserve">κε πτωτικά στη Βουλγαρία καθ’ όλη τη διάρκεια </w:t>
      </w:r>
      <w:r w:rsidRPr="001513CD">
        <w:rPr>
          <w:rFonts w:ascii="Book Antiqua" w:hAnsi="Book Antiqua" w:cs="All Times New Roman"/>
        </w:rPr>
        <w:t>το</w:t>
      </w:r>
      <w:r>
        <w:rPr>
          <w:rFonts w:ascii="Book Antiqua" w:hAnsi="Book Antiqua" w:cs="All Times New Roman"/>
        </w:rPr>
        <w:t>υ</w:t>
      </w:r>
      <w:r w:rsidRPr="001513CD">
        <w:rPr>
          <w:rFonts w:ascii="Book Antiqua" w:hAnsi="Book Antiqua" w:cs="All Times New Roman"/>
        </w:rPr>
        <w:t xml:space="preserve"> 2011. Σε ό,τι αφορά τα πιο πρόσφατα διαθέσιμα στοιχεία, το Νοέμβριο 2011 κατεγράφη κάμψη της τάξης του -10,3%. Μεγαλύτερη ήταν η πτώση</w:t>
      </w:r>
      <w:r>
        <w:rPr>
          <w:rFonts w:ascii="Book Antiqua" w:hAnsi="Book Antiqua" w:cs="All Times New Roman"/>
        </w:rPr>
        <w:t xml:space="preserve"> στην κατασκευή μεγάλων έργων (</w:t>
      </w:r>
      <w:r w:rsidRPr="001513CD">
        <w:rPr>
          <w:rFonts w:ascii="Book Antiqua" w:hAnsi="Book Antiqua" w:cs="All Times New Roman"/>
        </w:rPr>
        <w:t>16,3%) και μικ</w:t>
      </w:r>
      <w:r>
        <w:rPr>
          <w:rFonts w:ascii="Book Antiqua" w:hAnsi="Book Antiqua" w:cs="All Times New Roman"/>
        </w:rPr>
        <w:t>ρότερη στην κατασκευή κτηρίων (</w:t>
      </w:r>
      <w:r w:rsidRPr="001513CD">
        <w:rPr>
          <w:rFonts w:ascii="Book Antiqua" w:hAnsi="Book Antiqua" w:cs="All Times New Roman"/>
        </w:rPr>
        <w:t>5,2%). Σημειώνεται ότι ο κλάδος των κατασκευών, του οποίου, όπως αναφέρθηκε ήδη, η πορεία συνεχίζει να είναι ασταθής με πτωτικές τάσεις, επλήγη ιδιαίτερα κατά τη διάρκεια της διεθνούς οικονομικής κρίσης (πτώση της προστιθέμενης αξίας του κλάδου κατά 17,4% το 2009 και οριακή αύξηση 0,9% το 2010). Αντιθέτως, στην προ κρίσεως περίοδο, οι κατασκευές αναπτυσσόταν με ετ</w:t>
      </w:r>
      <w:r>
        <w:rPr>
          <w:rFonts w:ascii="Book Antiqua" w:hAnsi="Book Antiqua" w:cs="All Times New Roman"/>
        </w:rPr>
        <w:t>ήσιους ρυθμούς της τάξης του 10</w:t>
      </w:r>
      <w:r w:rsidRPr="001513CD">
        <w:rPr>
          <w:rFonts w:ascii="Book Antiqua" w:hAnsi="Book Antiqua" w:cs="All Times New Roman"/>
        </w:rPr>
        <w:t xml:space="preserve">– 14%. Χαρακτηριστικές της ψυχολογίας που επικρατεί στα στελέχη του κλάδου είναι οι πτωτικές τάσεις που παρατηρούνται και στο δείκτη επιχειρηματικού κλίματος αναφορικά με τις κατασκευές (-5% το Νοέμβριο 2011). </w:t>
      </w:r>
    </w:p>
    <w:p w:rsidR="00127B9A" w:rsidRPr="001513CD" w:rsidRDefault="00127B9A" w:rsidP="00127B9A">
      <w:pPr>
        <w:jc w:val="both"/>
        <w:rPr>
          <w:rFonts w:ascii="Book Antiqua" w:hAnsi="Book Antiqua" w:cs="All Times New Roman"/>
        </w:rPr>
      </w:pPr>
    </w:p>
    <w:p w:rsidR="00127B9A" w:rsidRPr="00C21D1C" w:rsidRDefault="00127B9A" w:rsidP="00127B9A">
      <w:pPr>
        <w:jc w:val="both"/>
        <w:outlineLvl w:val="0"/>
        <w:rPr>
          <w:rFonts w:ascii="Book Antiqua" w:hAnsi="Book Antiqua" w:cs="Tahoma"/>
          <w:b/>
          <w:color w:val="9BBB59" w:themeColor="accent3"/>
          <w:sz w:val="26"/>
          <w:szCs w:val="26"/>
          <w:u w:val="single"/>
        </w:rPr>
      </w:pPr>
      <w:bookmarkStart w:id="13" w:name="_Toc315701931"/>
      <w:r w:rsidRPr="00C21D1C">
        <w:rPr>
          <w:rFonts w:ascii="Book Antiqua" w:hAnsi="Book Antiqua" w:cs="Tahoma"/>
          <w:b/>
          <w:color w:val="9BBB59" w:themeColor="accent3"/>
          <w:sz w:val="26"/>
          <w:szCs w:val="26"/>
          <w:u w:val="single"/>
          <w:lang w:val="en-US"/>
        </w:rPr>
        <w:t>REAL</w:t>
      </w:r>
      <w:r w:rsidRPr="00C21D1C">
        <w:rPr>
          <w:rFonts w:ascii="Book Antiqua" w:hAnsi="Book Antiqua" w:cs="Tahoma"/>
          <w:b/>
          <w:color w:val="9BBB59" w:themeColor="accent3"/>
          <w:sz w:val="26"/>
          <w:szCs w:val="26"/>
          <w:u w:val="single"/>
        </w:rPr>
        <w:t xml:space="preserve"> </w:t>
      </w:r>
      <w:r w:rsidRPr="00C21D1C">
        <w:rPr>
          <w:rFonts w:ascii="Book Antiqua" w:hAnsi="Book Antiqua" w:cs="Tahoma"/>
          <w:b/>
          <w:color w:val="9BBB59" w:themeColor="accent3"/>
          <w:sz w:val="26"/>
          <w:szCs w:val="26"/>
          <w:u w:val="single"/>
          <w:lang w:val="en-US"/>
        </w:rPr>
        <w:t>ESTATE</w:t>
      </w:r>
      <w:bookmarkEnd w:id="13"/>
    </w:p>
    <w:p w:rsidR="00127B9A" w:rsidRPr="00F63B57" w:rsidRDefault="00127B9A" w:rsidP="00127B9A">
      <w:pPr>
        <w:jc w:val="both"/>
        <w:rPr>
          <w:rFonts w:ascii="Book Antiqua" w:hAnsi="Book Antiqua" w:cs="All Times New Roman"/>
        </w:rPr>
      </w:pPr>
      <w:r>
        <w:rPr>
          <w:rFonts w:ascii="Book Antiqua" w:hAnsi="Book Antiqua" w:cs="All Times New Roman"/>
          <w:vanish/>
        </w:rPr>
        <w:t xml:space="preserve">ομικσμρnchev ον κονδυλημρκοpean Affairs and EU FUnds </w:t>
      </w:r>
    </w:p>
    <w:p w:rsidR="00127B9A" w:rsidRPr="00A9638A" w:rsidRDefault="00127B9A" w:rsidP="00127B9A">
      <w:pPr>
        <w:pBdr>
          <w:top w:val="single" w:sz="4" w:space="1" w:color="000000"/>
          <w:left w:val="single" w:sz="4" w:space="0" w:color="000000"/>
          <w:bottom w:val="single" w:sz="4" w:space="1" w:color="000000"/>
          <w:right w:val="single" w:sz="4" w:space="0" w:color="000000"/>
        </w:pBdr>
        <w:shd w:val="clear" w:color="auto" w:fill="CCECFF"/>
        <w:suppressAutoHyphens/>
        <w:spacing w:after="0" w:line="240" w:lineRule="auto"/>
        <w:jc w:val="both"/>
        <w:outlineLvl w:val="2"/>
        <w:rPr>
          <w:rStyle w:val="apple-style-span"/>
          <w:rFonts w:ascii="Book Antiqua" w:hAnsi="Book Antiqua"/>
          <w:b/>
        </w:rPr>
      </w:pPr>
      <w:bookmarkStart w:id="14" w:name="_Toc315701932"/>
      <w:r>
        <w:rPr>
          <w:rFonts w:ascii="Book Antiqua" w:hAnsi="Book Antiqua"/>
          <w:b/>
        </w:rPr>
        <w:t>Πτωτικές τάσεις στην αγορά κατοικίας</w:t>
      </w:r>
      <w:bookmarkEnd w:id="14"/>
    </w:p>
    <w:p w:rsidR="00127B9A" w:rsidRDefault="00127B9A" w:rsidP="00127B9A">
      <w:pPr>
        <w:ind w:firstLine="720"/>
        <w:jc w:val="both"/>
        <w:rPr>
          <w:rStyle w:val="apple-style-span"/>
          <w:rFonts w:ascii="Book Antiqua" w:hAnsi="Book Antiqua" w:cs="Arial"/>
          <w:color w:val="000000"/>
          <w:shd w:val="clear" w:color="auto" w:fill="FFFFFF"/>
        </w:rPr>
      </w:pPr>
    </w:p>
    <w:p w:rsidR="00127B9A" w:rsidRPr="00A9638A" w:rsidRDefault="00127B9A" w:rsidP="00127B9A">
      <w:pPr>
        <w:ind w:firstLine="720"/>
        <w:jc w:val="both"/>
        <w:rPr>
          <w:rStyle w:val="apple-style-span"/>
          <w:rFonts w:ascii="Book Antiqua" w:hAnsi="Book Antiqua" w:cs="Arial"/>
          <w:color w:val="000000"/>
          <w:shd w:val="clear" w:color="auto" w:fill="FFFFFF"/>
        </w:rPr>
      </w:pPr>
      <w:r w:rsidRPr="00A9638A">
        <w:rPr>
          <w:rStyle w:val="apple-style-span"/>
          <w:rFonts w:ascii="Book Antiqua" w:hAnsi="Book Antiqua" w:cs="Arial"/>
          <w:color w:val="000000"/>
          <w:shd w:val="clear" w:color="auto" w:fill="FFFFFF"/>
        </w:rPr>
        <w:t>Βάσει των πλέον πρόσφατων στοιχείων που δημοσιοποίησε το Στατιστικό Ινστιτούτο της Βουλγαρίας, οι τιμές πώλησης κατοικιών στη χώρα σημείωσαν το δ’ τρίμηνο 2011 πτώση της τάξης του 6,1% σε σχέση με την αντίστοιχη περίοδο του 2010. Συγκριτικά με το προηγούμενο τρίμηνο του ίδιου έτους, η μείωση ανήλθε στο 1,5%. Είναι χαρακτηριστικό ότι οι πτωτικές αυτές τάσεις παρατηρήθηκαν στις 25 από τις 27 περιφέρειες της Βουλγαρία, όντας εντονότερες στο Shumen, το Pernik και το Gabrovo. Η Σόφια (περιφέρεια) ήταν μια από τις περιοχές, όπου σε ετήσια βάση κατεγράφη οριακή άνοδος τιμών. Η μέση τιμή στο σύνολο της χώρας ανά τ.μ. κατοικίας διαμορφώθηκε το δ’ τρίμηνο 2011 στα BGN 887,57 (περίπου €450). Οι υψηλότερες μέσες ετήσιες τιμές ανά τ.μ. καταγράφονται στη Σόφια (περιοχή πρωτευούσης – BGN 1453), τη Βάρνα (BGN 1455) και το Μπουργκάς (BGN 1166). Αντίθετα, οι χαμηλότερες τιμές καταγράφονται στο Gabrovo (BGN 525), το Vidin (BGN 570) και Yambol (BGN).</w:t>
      </w:r>
    </w:p>
    <w:p w:rsidR="00127B9A" w:rsidRDefault="00127B9A" w:rsidP="00127B9A">
      <w:pPr>
        <w:ind w:firstLine="720"/>
        <w:jc w:val="both"/>
        <w:rPr>
          <w:rStyle w:val="apple-style-span"/>
          <w:rFonts w:ascii="Book Antiqua" w:hAnsi="Book Antiqua" w:cs="Arial"/>
          <w:color w:val="000000"/>
          <w:shd w:val="clear" w:color="auto" w:fill="FFFFFF"/>
        </w:rPr>
      </w:pPr>
    </w:p>
    <w:p w:rsidR="00127B9A" w:rsidRPr="00A9638A" w:rsidRDefault="00127B9A" w:rsidP="00127B9A">
      <w:pPr>
        <w:ind w:firstLine="720"/>
        <w:rPr>
          <w:rFonts w:ascii="Book Antiqua" w:hAnsi="Book Antiqua" w:cs="Arial"/>
          <w:color w:val="000000"/>
          <w:shd w:val="clear" w:color="auto" w:fill="FFFFFF"/>
        </w:rPr>
      </w:pPr>
      <w:r>
        <w:rPr>
          <w:rFonts w:ascii="Book Antiqua" w:hAnsi="Book Antiqua" w:cs="Tahoma"/>
          <w:b/>
        </w:rPr>
        <w:t xml:space="preserve">                                                                       </w:t>
      </w:r>
    </w:p>
    <w:p w:rsidR="00127B9A" w:rsidRPr="00C21D1C" w:rsidRDefault="00127B9A" w:rsidP="00127B9A">
      <w:pPr>
        <w:jc w:val="both"/>
        <w:outlineLvl w:val="0"/>
        <w:rPr>
          <w:rFonts w:ascii="Book Antiqua" w:hAnsi="Book Antiqua" w:cs="Tahoma"/>
          <w:b/>
          <w:color w:val="9BBB59" w:themeColor="accent3"/>
          <w:sz w:val="26"/>
          <w:szCs w:val="26"/>
          <w:u w:val="single"/>
        </w:rPr>
      </w:pPr>
      <w:bookmarkStart w:id="15" w:name="_Toc315701933"/>
      <w:r w:rsidRPr="00C21D1C">
        <w:rPr>
          <w:rFonts w:ascii="Book Antiqua" w:hAnsi="Book Antiqua" w:cs="Tahoma"/>
          <w:b/>
          <w:color w:val="9BBB59" w:themeColor="accent3"/>
          <w:sz w:val="26"/>
          <w:szCs w:val="26"/>
          <w:u w:val="single"/>
        </w:rPr>
        <w:lastRenderedPageBreak/>
        <w:t>ΕΠΙΠΛΑ</w:t>
      </w:r>
      <w:bookmarkEnd w:id="15"/>
    </w:p>
    <w:p w:rsidR="00127B9A" w:rsidRPr="00F63B57" w:rsidRDefault="00127B9A" w:rsidP="00127B9A">
      <w:pPr>
        <w:tabs>
          <w:tab w:val="left" w:pos="3960"/>
          <w:tab w:val="left" w:pos="4140"/>
        </w:tabs>
        <w:rPr>
          <w:rFonts w:ascii="Book Antiqua" w:hAnsi="Book Antiqua" w:cs="All Times New Roman"/>
        </w:rPr>
      </w:pPr>
      <w:r>
        <w:rPr>
          <w:rFonts w:ascii="Book Antiqua" w:hAnsi="Book Antiqua" w:cs="All Times New Roman"/>
          <w:vanish/>
        </w:rPr>
        <w:t>ομικσμρnchev ον κονδυλημρκοpean Affairs and EU FUnds</w:t>
      </w:r>
    </w:p>
    <w:p w:rsidR="00127B9A" w:rsidRDefault="00127B9A" w:rsidP="00127B9A">
      <w:pPr>
        <w:pBdr>
          <w:top w:val="single" w:sz="4" w:space="1" w:color="000000"/>
          <w:left w:val="single" w:sz="4" w:space="0" w:color="000000"/>
          <w:bottom w:val="single" w:sz="4" w:space="1" w:color="000000"/>
          <w:right w:val="single" w:sz="4" w:space="0" w:color="000000"/>
        </w:pBdr>
        <w:shd w:val="clear" w:color="auto" w:fill="CCECFF"/>
        <w:jc w:val="both"/>
        <w:outlineLvl w:val="2"/>
        <w:rPr>
          <w:rFonts w:ascii="Book Antiqua" w:hAnsi="Book Antiqua" w:cs="All Times New Roman"/>
          <w:b/>
        </w:rPr>
      </w:pPr>
      <w:r>
        <w:rPr>
          <w:rFonts w:ascii="Book Antiqua" w:hAnsi="Book Antiqua"/>
          <w:b/>
        </w:rPr>
        <w:t xml:space="preserve">  </w:t>
      </w:r>
      <w:bookmarkStart w:id="16" w:name="_Toc315701934"/>
      <w:r>
        <w:rPr>
          <w:rFonts w:ascii="Book Antiqua" w:hAnsi="Book Antiqua"/>
          <w:b/>
        </w:rPr>
        <w:t>Αύξηση παραγωγής επίπλου</w:t>
      </w:r>
      <w:bookmarkEnd w:id="16"/>
      <w:r>
        <w:rPr>
          <w:rFonts w:ascii="Book Antiqua" w:hAnsi="Book Antiqua"/>
          <w:b/>
        </w:rPr>
        <w:t xml:space="preserve"> </w:t>
      </w:r>
    </w:p>
    <w:p w:rsidR="00127B9A" w:rsidRPr="00634CA5" w:rsidRDefault="00127B9A" w:rsidP="00127B9A">
      <w:pPr>
        <w:jc w:val="both"/>
        <w:rPr>
          <w:rFonts w:ascii="Book Antiqua" w:hAnsi="Book Antiqua" w:cs="All Times New Roman"/>
          <w:b/>
        </w:rPr>
      </w:pPr>
    </w:p>
    <w:p w:rsidR="00127B9A" w:rsidRPr="008B11D2" w:rsidRDefault="00127B9A" w:rsidP="00127B9A">
      <w:pPr>
        <w:ind w:firstLine="720"/>
        <w:jc w:val="both"/>
        <w:rPr>
          <w:rFonts w:ascii="Book Antiqua" w:hAnsi="Book Antiqua"/>
          <w:color w:val="000000"/>
          <w:shd w:val="clear" w:color="auto" w:fill="FFFFFF"/>
        </w:rPr>
      </w:pPr>
      <w:r w:rsidRPr="008B11D2">
        <w:rPr>
          <w:rFonts w:ascii="Book Antiqua" w:hAnsi="Book Antiqua"/>
          <w:color w:val="000000"/>
          <w:shd w:val="clear" w:color="auto" w:fill="FFFFFF"/>
        </w:rPr>
        <w:t xml:space="preserve">Η παραγωγή επίπλου στη Βουλγαρία αυξήθηκε κατά 12,8% στο τρίτο τρίμηνο του 2011, σύμφωνα με στοιχεία που δημοσίευσε η συμβουλευτική εταιρεία </w:t>
      </w:r>
      <w:r w:rsidRPr="008B11D2">
        <w:rPr>
          <w:rFonts w:ascii="Book Antiqua" w:hAnsi="Book Antiqua"/>
          <w:shd w:val="clear" w:color="auto" w:fill="FFFFFF"/>
          <w:lang w:val="en-US"/>
        </w:rPr>
        <w:t>SFB</w:t>
      </w:r>
      <w:r w:rsidRPr="008B11D2">
        <w:rPr>
          <w:rFonts w:ascii="Book Antiqua" w:hAnsi="Book Antiqua"/>
          <w:shd w:val="clear" w:color="auto" w:fill="FFFFFF"/>
        </w:rPr>
        <w:t xml:space="preserve"> </w:t>
      </w:r>
      <w:r w:rsidRPr="008B11D2">
        <w:rPr>
          <w:rFonts w:ascii="Book Antiqua" w:hAnsi="Book Antiqua"/>
          <w:shd w:val="clear" w:color="auto" w:fill="FFFFFF"/>
          <w:lang w:val="en-US"/>
        </w:rPr>
        <w:t>Capital</w:t>
      </w:r>
      <w:r w:rsidRPr="008B11D2">
        <w:rPr>
          <w:rFonts w:ascii="Book Antiqua" w:hAnsi="Book Antiqua"/>
          <w:shd w:val="clear" w:color="auto" w:fill="FFFFFF"/>
        </w:rPr>
        <w:t xml:space="preserve"> </w:t>
      </w:r>
      <w:r w:rsidRPr="008B11D2">
        <w:rPr>
          <w:rFonts w:ascii="Book Antiqua" w:hAnsi="Book Antiqua"/>
          <w:shd w:val="clear" w:color="auto" w:fill="FFFFFF"/>
          <w:lang w:val="en-US"/>
        </w:rPr>
        <w:t>Market</w:t>
      </w:r>
      <w:r w:rsidRPr="008B11D2">
        <w:rPr>
          <w:rFonts w:ascii="Book Antiqua" w:hAnsi="Book Antiqua"/>
          <w:shd w:val="clear" w:color="auto" w:fill="FFFFFF"/>
        </w:rPr>
        <w:t xml:space="preserve"> </w:t>
      </w:r>
      <w:r w:rsidRPr="008B11D2">
        <w:rPr>
          <w:rFonts w:ascii="Book Antiqua" w:hAnsi="Book Antiqua"/>
          <w:shd w:val="clear" w:color="auto" w:fill="FFFFFF"/>
          <w:lang w:val="en-US"/>
        </w:rPr>
        <w:t>JSC</w:t>
      </w:r>
      <w:r w:rsidRPr="008B11D2">
        <w:rPr>
          <w:rFonts w:ascii="Book Antiqua" w:hAnsi="Book Antiqua"/>
          <w:shd w:val="clear" w:color="auto" w:fill="FFFFFF"/>
        </w:rPr>
        <w:t xml:space="preserve"> </w:t>
      </w:r>
      <w:r w:rsidRPr="008B11D2">
        <w:rPr>
          <w:rFonts w:ascii="Book Antiqua" w:hAnsi="Book Antiqua"/>
          <w:color w:val="000000"/>
          <w:shd w:val="clear" w:color="auto" w:fill="FFFFFF"/>
        </w:rPr>
        <w:t xml:space="preserve">από σχετική μελέτη αγοράς. Ειδικότερα το πρώτο εννιάμηνο 2011 η αύξηση στην παραγωγή προσέγγισε το 15,3%, ενώ ο τζίρος από πώληση προϊόντων και παροχή υπηρεσιών την περίοδο Ιουλίου-Σεπτεμβρίου 2011 σημείωσε σε ετήσια βάση αύξηση 11,7%. </w:t>
      </w:r>
    </w:p>
    <w:p w:rsidR="00127B9A" w:rsidRPr="008B11D2" w:rsidRDefault="00127B9A" w:rsidP="00127B9A">
      <w:pPr>
        <w:ind w:firstLine="720"/>
        <w:jc w:val="both"/>
        <w:rPr>
          <w:rFonts w:ascii="Book Antiqua" w:hAnsi="Book Antiqua"/>
          <w:color w:val="000000"/>
          <w:shd w:val="clear" w:color="auto" w:fill="FFFFFF"/>
        </w:rPr>
      </w:pPr>
    </w:p>
    <w:p w:rsidR="00127B9A" w:rsidRPr="008B11D2" w:rsidRDefault="00127B9A" w:rsidP="00127B9A">
      <w:pPr>
        <w:ind w:firstLine="720"/>
        <w:jc w:val="both"/>
        <w:rPr>
          <w:rFonts w:ascii="Book Antiqua" w:hAnsi="Book Antiqua"/>
          <w:color w:val="000000"/>
          <w:shd w:val="clear" w:color="auto" w:fill="FFFFFF"/>
        </w:rPr>
      </w:pPr>
      <w:r w:rsidRPr="008B11D2">
        <w:rPr>
          <w:rFonts w:ascii="Book Antiqua" w:hAnsi="Book Antiqua"/>
          <w:color w:val="000000"/>
          <w:shd w:val="clear" w:color="auto" w:fill="FFFFFF"/>
        </w:rPr>
        <w:t xml:space="preserve">Σύμφωνα με στοιχεία από την ίδια μελέτη, οι εισαγωγές επίπλου στη Βουλγαρία στο τρίτο τρίμηνο 2011 μειώθηκαν κατά 14,1% σε σύγκριση με το αντίστοιχο τρίμηνο του 2010. Για το εννιάμηνο 2011 η μείωση ήταν 5,8%. Αντίθετα, την περίοδο Ιουλίου-Σεπτεμβρίου 2011 οι βουλγαρικές εξαγωγές αυξήθηκαν κατά 17,4%. Σημειώνεται ότι μεγαλύτερο τμήμα της εγχώριας παραγωγής επίπλων από μέταλλο προορίζεται για εξαγωγές. Οι Βούλγαροι παραγωγοί επίπλων από μέταλλο διέθεσαν στην εγχώρια αγορά στο τρίτο τρίμηνο 2011 μόνο το 15% περίπου της παραγωγής τους. Παρόλο που στο ίδιο τρίμηνο οι πωλήσεις των εν λόγω προϊόντων σημείωσαν αύξηση 34,9% σε ετήσια βάση, συνολικά στο εννιάμηνο οι πωλήσεις εμφάνισαν πτώση 33,4%. </w:t>
      </w:r>
    </w:p>
    <w:p w:rsidR="00127B9A" w:rsidRPr="00C21D1C" w:rsidRDefault="00127B9A" w:rsidP="00127B9A">
      <w:pPr>
        <w:ind w:firstLine="720"/>
        <w:rPr>
          <w:rFonts w:ascii="Book Antiqua" w:hAnsi="Book Antiqua" w:cs="Tahoma"/>
          <w:b/>
          <w:color w:val="9BBB59" w:themeColor="accent3"/>
        </w:rPr>
      </w:pPr>
      <w:r w:rsidRPr="00C21D1C">
        <w:rPr>
          <w:rFonts w:ascii="Book Antiqua" w:hAnsi="Book Antiqua" w:cs="Tahoma"/>
          <w:b/>
          <w:color w:val="9BBB59" w:themeColor="accent3"/>
        </w:rPr>
        <w:t xml:space="preserve">                                   </w:t>
      </w:r>
      <w:r w:rsidRPr="00C21D1C">
        <w:rPr>
          <w:rFonts w:ascii="Book Antiqua" w:hAnsi="Book Antiqua" w:cs="Tahoma"/>
          <w:b/>
          <w:color w:val="9BBB59" w:themeColor="accent3"/>
        </w:rPr>
        <w:tab/>
      </w:r>
      <w:r w:rsidRPr="00C21D1C">
        <w:rPr>
          <w:rFonts w:ascii="Book Antiqua" w:hAnsi="Book Antiqua" w:cs="Tahoma"/>
          <w:b/>
          <w:color w:val="9BBB59" w:themeColor="accent3"/>
        </w:rPr>
        <w:tab/>
        <w:t xml:space="preserve">     </w:t>
      </w:r>
    </w:p>
    <w:p w:rsidR="00127B9A" w:rsidRPr="00C21D1C" w:rsidRDefault="00127B9A" w:rsidP="00127B9A">
      <w:pPr>
        <w:jc w:val="both"/>
        <w:outlineLvl w:val="0"/>
        <w:rPr>
          <w:rFonts w:ascii="Book Antiqua" w:hAnsi="Book Antiqua" w:cs="Tahoma"/>
          <w:b/>
          <w:color w:val="9BBB59" w:themeColor="accent3"/>
          <w:sz w:val="26"/>
          <w:szCs w:val="26"/>
          <w:u w:val="single"/>
        </w:rPr>
      </w:pPr>
      <w:bookmarkStart w:id="17" w:name="_Toc315701935"/>
      <w:r w:rsidRPr="00C21D1C">
        <w:rPr>
          <w:rFonts w:ascii="Book Antiqua" w:hAnsi="Book Antiqua" w:cs="Tahoma"/>
          <w:b/>
          <w:color w:val="9BBB59" w:themeColor="accent3"/>
          <w:sz w:val="26"/>
          <w:szCs w:val="26"/>
          <w:u w:val="single"/>
        </w:rPr>
        <w:t>ΚΛΩΣΤΟΫΦΑΝΤΟΥΡΓΙΑ</w:t>
      </w:r>
      <w:bookmarkEnd w:id="17"/>
    </w:p>
    <w:p w:rsidR="00127B9A" w:rsidRPr="00F63B57" w:rsidRDefault="00127B9A" w:rsidP="00127B9A">
      <w:pPr>
        <w:tabs>
          <w:tab w:val="left" w:pos="3960"/>
          <w:tab w:val="left" w:pos="4140"/>
        </w:tabs>
        <w:rPr>
          <w:rFonts w:ascii="Book Antiqua" w:hAnsi="Book Antiqua" w:cs="All Times New Roman"/>
        </w:rPr>
      </w:pPr>
      <w:r>
        <w:rPr>
          <w:rFonts w:ascii="Book Antiqua" w:hAnsi="Book Antiqua" w:cs="All Times New Roman"/>
          <w:vanish/>
        </w:rPr>
        <w:t>ομικσμρnchev ον κονδυλημρκοpean Affairs and EU FUnds</w:t>
      </w:r>
    </w:p>
    <w:p w:rsidR="00127B9A" w:rsidRPr="0001032C" w:rsidRDefault="00127B9A" w:rsidP="00127B9A">
      <w:pPr>
        <w:pBdr>
          <w:top w:val="single" w:sz="4" w:space="1" w:color="000000"/>
          <w:left w:val="single" w:sz="4" w:space="0" w:color="000000"/>
          <w:bottom w:val="single" w:sz="4" w:space="1" w:color="000000"/>
          <w:right w:val="single" w:sz="4" w:space="0" w:color="000000"/>
        </w:pBdr>
        <w:shd w:val="clear" w:color="auto" w:fill="CCECFF"/>
        <w:jc w:val="both"/>
        <w:outlineLvl w:val="2"/>
        <w:rPr>
          <w:rFonts w:ascii="Book Antiqua" w:hAnsi="Book Antiqua" w:cs="All Times New Roman"/>
          <w:b/>
        </w:rPr>
      </w:pPr>
      <w:r>
        <w:rPr>
          <w:rFonts w:ascii="Book Antiqua" w:hAnsi="Book Antiqua"/>
          <w:b/>
        </w:rPr>
        <w:t xml:space="preserve">  </w:t>
      </w:r>
      <w:bookmarkStart w:id="18" w:name="_Toc315701936"/>
      <w:r>
        <w:rPr>
          <w:rFonts w:ascii="Book Antiqua" w:hAnsi="Book Antiqua"/>
          <w:b/>
        </w:rPr>
        <w:t xml:space="preserve"> </w:t>
      </w:r>
      <w:r w:rsidRPr="004A553D">
        <w:rPr>
          <w:rFonts w:ascii="Book Antiqua" w:hAnsi="Book Antiqua" w:cs="All Times New Roman"/>
          <w:b/>
        </w:rPr>
        <w:t>Αύξηση προϊόντος κλωστοϋφαντουργίας</w:t>
      </w:r>
      <w:bookmarkEnd w:id="18"/>
      <w:r w:rsidRPr="00A509BF">
        <w:rPr>
          <w:rFonts w:ascii="Book Antiqua" w:hAnsi="Book Antiqua" w:cs="All Times New Roman"/>
        </w:rPr>
        <w:t xml:space="preserve"> </w:t>
      </w:r>
      <w:r>
        <w:rPr>
          <w:rFonts w:ascii="Book Antiqua" w:hAnsi="Book Antiqua" w:cs="All Times New Roman"/>
          <w:vanish/>
        </w:rPr>
        <w:t>ομικσμρnchev ον κονδυλημρκοpean Affairs and EU FUnds</w:t>
      </w:r>
    </w:p>
    <w:p w:rsidR="00127B9A" w:rsidRPr="0001032C" w:rsidRDefault="00127B9A" w:rsidP="00127B9A">
      <w:pPr>
        <w:jc w:val="both"/>
        <w:outlineLvl w:val="0"/>
        <w:rPr>
          <w:rFonts w:ascii="Book Antiqua" w:hAnsi="Book Antiqua" w:cs="TimesNewRomanPS-BoldItalicMT"/>
          <w:b/>
          <w:bCs/>
          <w:iCs/>
        </w:rPr>
      </w:pPr>
    </w:p>
    <w:p w:rsidR="00127B9A" w:rsidRPr="004A553D" w:rsidRDefault="00127B9A" w:rsidP="00127B9A">
      <w:pPr>
        <w:ind w:firstLine="720"/>
        <w:jc w:val="both"/>
        <w:rPr>
          <w:rFonts w:ascii="Book Antiqua" w:hAnsi="Book Antiqua" w:cs="TimesNewRomanPS-BoldItalicMT"/>
          <w:bCs/>
          <w:iCs/>
        </w:rPr>
      </w:pPr>
      <w:r w:rsidRPr="004A553D">
        <w:rPr>
          <w:rFonts w:ascii="Book Antiqua" w:hAnsi="Book Antiqua" w:cs="TimesNewRomanPS-BoldItalicMT"/>
          <w:bCs/>
          <w:iCs/>
        </w:rPr>
        <w:t xml:space="preserve">Η ανοδική τάση της παραγωγής  κλωστ/ργικών στην Βουλγαρία συνεχίστηκε και κατά το τρίτο τρίμηνο του 2011, σύμφωνα με τα στοιχεία έρευνας της SFB Capital Market JSC. Σε ετήσια βάση, η σημειωθείσα αύξηση ήταν της τάξης του 3,3% σε σχέση με το αντίστοιχο τρίμηνο του 2010 και 9,5% σε σχέση με το διάστημα Ιανουαρίου-Σεπτεμβρίου 2010. Ο κύκλος εργασιών των επιχειρήσεων του κλάδου βελτιώθηκε, σε ετήσια βάση, κατά 12,8% σε σχέση με το τρίτο τρίμηνο 2010 και κατά 18,3% σε σχέση με το 9μηνο του προηγούμενου έτους. Αύξηση επίσης κατέγραψαν και οι εισαγωγές  κατά 12,0% έναντι του γ΄ τριμήνου του 2010 και κατά 17,9% σε σχέση με την αντίστοιχη χρονική περίοδο του ίδιου έτους. Υψηλότερο ρυθμό αύξησης, ωστόσο, </w:t>
      </w:r>
      <w:r w:rsidRPr="004A553D">
        <w:rPr>
          <w:rFonts w:ascii="Book Antiqua" w:hAnsi="Book Antiqua" w:cs="TimesNewRomanPS-BoldItalicMT"/>
          <w:bCs/>
          <w:iCs/>
        </w:rPr>
        <w:lastRenderedPageBreak/>
        <w:t xml:space="preserve">κατέγραψαν οι εξαγωγές με 21,7% και 26,5 %, κατά τα αντίστοιχα χρονικά διαστήματα. </w:t>
      </w:r>
    </w:p>
    <w:p w:rsidR="00127B9A" w:rsidRPr="00C21D1C" w:rsidRDefault="00127B9A" w:rsidP="00127B9A">
      <w:pPr>
        <w:ind w:firstLine="720"/>
        <w:jc w:val="both"/>
        <w:outlineLvl w:val="0"/>
        <w:rPr>
          <w:rFonts w:ascii="Century Gothic" w:hAnsi="Century Gothic" w:cs="TimesNewRomanPS-BoldItalicMT"/>
          <w:b/>
          <w:bCs/>
          <w:iCs/>
          <w:color w:val="9BBB59" w:themeColor="accent3"/>
          <w:sz w:val="28"/>
          <w:szCs w:val="28"/>
        </w:rPr>
      </w:pPr>
      <w:bookmarkStart w:id="19" w:name="_Toc315701937"/>
      <w:r w:rsidRPr="00C21D1C">
        <w:rPr>
          <w:rFonts w:ascii="Century Gothic" w:hAnsi="Century Gothic" w:cs="TimesNewRomanPS-BoldItalicMT"/>
          <w:b/>
          <w:bCs/>
          <w:iCs/>
          <w:color w:val="9BBB59" w:themeColor="accent3"/>
          <w:sz w:val="28"/>
          <w:szCs w:val="28"/>
          <w:lang w:val="en-US"/>
        </w:rPr>
        <w:t>V</w:t>
      </w:r>
      <w:r w:rsidRPr="00C21D1C">
        <w:rPr>
          <w:rFonts w:ascii="Century Gothic" w:hAnsi="Century Gothic" w:cs="TimesNewRomanPS-BoldItalicMT"/>
          <w:b/>
          <w:bCs/>
          <w:iCs/>
          <w:color w:val="9BBB59" w:themeColor="accent3"/>
          <w:sz w:val="28"/>
          <w:szCs w:val="28"/>
        </w:rPr>
        <w:t>. ΣΥΝΕΔΡΙΑ – ΕΚΘΕΣΕΙΣ</w:t>
      </w:r>
      <w:bookmarkEnd w:id="19"/>
      <w:r w:rsidRPr="00C21D1C">
        <w:rPr>
          <w:rFonts w:ascii="Century Gothic" w:hAnsi="Century Gothic" w:cs="TimesNewRomanPS-BoldItalicMT"/>
          <w:b/>
          <w:bCs/>
          <w:iCs/>
          <w:color w:val="9BBB59" w:themeColor="accent3"/>
          <w:sz w:val="28"/>
          <w:szCs w:val="28"/>
        </w:rPr>
        <w:t xml:space="preserve">  </w:t>
      </w:r>
    </w:p>
    <w:p w:rsidR="00127B9A" w:rsidRPr="00A7138D" w:rsidRDefault="00127B9A" w:rsidP="00127B9A">
      <w:pPr>
        <w:spacing w:line="360" w:lineRule="auto"/>
        <w:jc w:val="center"/>
        <w:rPr>
          <w:rFonts w:ascii="Book Antiqua" w:hAnsi="Book Antiqua" w:cs="Tahoma"/>
          <w:b/>
        </w:rPr>
      </w:pPr>
    </w:p>
    <w:p w:rsidR="00127B9A" w:rsidRPr="00127B9A" w:rsidRDefault="00127B9A" w:rsidP="00127B9A">
      <w:pPr>
        <w:pStyle w:val="Web"/>
        <w:pBdr>
          <w:top w:val="single" w:sz="4" w:space="1" w:color="000000"/>
          <w:left w:val="single" w:sz="4" w:space="4" w:color="000000"/>
          <w:bottom w:val="single" w:sz="4" w:space="0" w:color="000000"/>
          <w:right w:val="single" w:sz="4" w:space="4" w:color="000000"/>
        </w:pBdr>
        <w:shd w:val="clear" w:color="auto" w:fill="FFFF99"/>
        <w:spacing w:before="0" w:after="0"/>
        <w:jc w:val="both"/>
        <w:outlineLvl w:val="2"/>
        <w:rPr>
          <w:rFonts w:ascii="Book Antiqua" w:hAnsi="Book Antiqua" w:cs="Tahoma"/>
          <w:b/>
          <w:color w:val="000000"/>
        </w:rPr>
      </w:pPr>
      <w:bookmarkStart w:id="20" w:name="_Toc315701938"/>
      <w:r w:rsidRPr="00A7138D">
        <w:rPr>
          <w:rFonts w:ascii="Book Antiqua" w:hAnsi="Book Antiqua" w:cs="Tahoma"/>
          <w:b/>
          <w:color w:val="000000"/>
        </w:rPr>
        <w:t>37η Διεθνής Έκθεση Γούνας Καστοριάς 2012</w:t>
      </w:r>
      <w:bookmarkEnd w:id="20"/>
    </w:p>
    <w:p w:rsidR="00127B9A" w:rsidRPr="00937CE0" w:rsidRDefault="00127B9A" w:rsidP="00127B9A">
      <w:pPr>
        <w:spacing w:line="260" w:lineRule="atLeast"/>
        <w:jc w:val="both"/>
        <w:rPr>
          <w:rFonts w:ascii="Book Antiqua" w:hAnsi="Book Antiqua" w:cs="All Times New Roman"/>
        </w:rPr>
      </w:pPr>
    </w:p>
    <w:p w:rsidR="00127B9A" w:rsidRPr="00EF0790" w:rsidRDefault="00127B9A" w:rsidP="00127B9A">
      <w:pPr>
        <w:ind w:firstLine="720"/>
        <w:jc w:val="both"/>
        <w:rPr>
          <w:rFonts w:ascii="Book Antiqua" w:hAnsi="Book Antiqua"/>
        </w:rPr>
      </w:pPr>
      <w:r>
        <w:rPr>
          <w:rFonts w:ascii="Book Antiqua" w:hAnsi="Book Antiqua"/>
        </w:rPr>
        <w:t xml:space="preserve">Από το 1976 </w:t>
      </w:r>
      <w:r w:rsidRPr="00EF0790">
        <w:rPr>
          <w:rFonts w:ascii="Book Antiqua" w:hAnsi="Book Antiqua"/>
        </w:rPr>
        <w:t xml:space="preserve">ο Σύνδεσμος Γουνοποιών Καστοριάς «Προφήτης Ηλίας» διοργανώνει </w:t>
      </w:r>
      <w:r>
        <w:rPr>
          <w:rFonts w:ascii="Book Antiqua" w:hAnsi="Book Antiqua"/>
        </w:rPr>
        <w:t xml:space="preserve">σε ετήσια βάση την </w:t>
      </w:r>
      <w:r w:rsidRPr="00EF0790">
        <w:rPr>
          <w:rFonts w:ascii="Book Antiqua" w:hAnsi="Book Antiqua"/>
        </w:rPr>
        <w:t xml:space="preserve">Διεθνή Έκθεση Γούνας. </w:t>
      </w:r>
      <w:r>
        <w:rPr>
          <w:rFonts w:ascii="Book Antiqua" w:hAnsi="Book Antiqua"/>
        </w:rPr>
        <w:t>Σ</w:t>
      </w:r>
      <w:r w:rsidRPr="00EF0790">
        <w:rPr>
          <w:rFonts w:ascii="Book Antiqua" w:hAnsi="Book Antiqua"/>
        </w:rPr>
        <w:t>ύμφωνα με τον Πρόεδρο του Συνδέσμου, κ. Ηρακλή Καλλισθέν</w:t>
      </w:r>
      <w:r>
        <w:rPr>
          <w:rFonts w:ascii="Book Antiqua" w:hAnsi="Book Antiqua"/>
        </w:rPr>
        <w:t xml:space="preserve">η, στη διοργάνωση του </w:t>
      </w:r>
      <w:r w:rsidRPr="00EF0790">
        <w:rPr>
          <w:rFonts w:ascii="Book Antiqua" w:hAnsi="Book Antiqua"/>
        </w:rPr>
        <w:t xml:space="preserve">2011 καλύφθηκαν </w:t>
      </w:r>
      <w:r>
        <w:rPr>
          <w:rFonts w:ascii="Book Antiqua" w:hAnsi="Book Antiqua"/>
        </w:rPr>
        <w:t xml:space="preserve">πλήρως </w:t>
      </w:r>
      <w:r w:rsidRPr="00EF0790">
        <w:rPr>
          <w:rFonts w:ascii="Book Antiqua" w:hAnsi="Book Antiqua"/>
        </w:rPr>
        <w:t xml:space="preserve">τα </w:t>
      </w:r>
      <w:r>
        <w:rPr>
          <w:rFonts w:ascii="Book Antiqua" w:hAnsi="Book Antiqua"/>
        </w:rPr>
        <w:t>διαθέσιμα 10.500 τ.μ του εκθεσιακού χώρου, ενώ ο αριθμός</w:t>
      </w:r>
      <w:r w:rsidRPr="00EF0790">
        <w:rPr>
          <w:rFonts w:ascii="Book Antiqua" w:hAnsi="Book Antiqua"/>
        </w:rPr>
        <w:t xml:space="preserve"> των εμπορικών επισκεπτών εμφανίστηκε αυξημένος κατά 30%</w:t>
      </w:r>
      <w:r>
        <w:rPr>
          <w:rFonts w:ascii="Book Antiqua" w:hAnsi="Book Antiqua"/>
        </w:rPr>
        <w:t xml:space="preserve"> σε σύγκριση με το προηγούμενο έτος</w:t>
      </w:r>
      <w:r w:rsidRPr="00EF0790">
        <w:rPr>
          <w:rFonts w:ascii="Book Antiqua" w:hAnsi="Book Antiqua"/>
        </w:rPr>
        <w:t xml:space="preserve">. Σύμφωνα με τον </w:t>
      </w:r>
      <w:r>
        <w:rPr>
          <w:rFonts w:ascii="Book Antiqua" w:hAnsi="Book Antiqua"/>
        </w:rPr>
        <w:t xml:space="preserve">ίδιο, </w:t>
      </w:r>
      <w:r w:rsidRPr="00EF0790">
        <w:rPr>
          <w:rFonts w:ascii="Book Antiqua" w:hAnsi="Book Antiqua"/>
        </w:rPr>
        <w:t xml:space="preserve">το 2011  η κρίση δεν επηρέασε </w:t>
      </w:r>
      <w:r>
        <w:rPr>
          <w:rFonts w:ascii="Book Antiqua" w:hAnsi="Book Antiqua"/>
        </w:rPr>
        <w:t>τον κλάδο διότι</w:t>
      </w:r>
      <w:r w:rsidRPr="00EF0790">
        <w:rPr>
          <w:rFonts w:ascii="Book Antiqua" w:hAnsi="Book Antiqua"/>
        </w:rPr>
        <w:t> το μεγαλύτερο τμήμα της παραγωγής κατευθύνθηκε προς την Ρωσία για εξαγωγές.</w:t>
      </w:r>
    </w:p>
    <w:p w:rsidR="00127B9A" w:rsidRPr="00EF0790" w:rsidRDefault="00127B9A" w:rsidP="00127B9A">
      <w:pPr>
        <w:jc w:val="both"/>
        <w:rPr>
          <w:rFonts w:ascii="Book Antiqua" w:hAnsi="Book Antiqua" w:cs="Tahoma"/>
        </w:rPr>
      </w:pPr>
    </w:p>
    <w:p w:rsidR="00127B9A" w:rsidRDefault="00127B9A" w:rsidP="00127B9A">
      <w:pPr>
        <w:ind w:firstLine="720"/>
        <w:jc w:val="both"/>
        <w:rPr>
          <w:rFonts w:ascii="Book Antiqua" w:hAnsi="Book Antiqua"/>
        </w:rPr>
      </w:pPr>
      <w:r w:rsidRPr="00EF0790">
        <w:rPr>
          <w:rFonts w:ascii="Book Antiqua" w:hAnsi="Book Antiqua"/>
        </w:rPr>
        <w:t xml:space="preserve">Η </w:t>
      </w:r>
      <w:r w:rsidRPr="00EF0790">
        <w:rPr>
          <w:rFonts w:ascii="Book Antiqua" w:hAnsi="Book Antiqua" w:cs="Tahoma"/>
        </w:rPr>
        <w:t xml:space="preserve">37η Διεθνής Έκθεση Γούνας Καστοριάς 2012 θα λάβει χώρα στις 4-7 Μαΐου 2012 στο μόνιμο Εκθετήριο – Δημοπρατήριο Γούνας Καστοριάς και στο νέο Εκθεσιακό Κέντρο του Σ.Γ.Κ (περιοχή Χλοή). Για περισσότερες πληροφορίες οι ενδιαφερόμενοι μπορούν να επισκέπτονται την ιστοσελίδα της Έκθεσης  </w:t>
      </w:r>
      <w:hyperlink r:id="rId13" w:tgtFrame="_blank" w:history="1">
        <w:r w:rsidRPr="00EF0790">
          <w:rPr>
            <w:rStyle w:val="-"/>
            <w:rFonts w:ascii="Book Antiqua" w:hAnsi="Book Antiqua"/>
          </w:rPr>
          <w:t>www.furfair.gr</w:t>
        </w:r>
      </w:hyperlink>
      <w:r>
        <w:rPr>
          <w:rFonts w:ascii="Book Antiqua" w:hAnsi="Book Antiqua" w:cs="Tahoma"/>
        </w:rPr>
        <w:t xml:space="preserve"> </w:t>
      </w:r>
      <w:r w:rsidRPr="00EF0790">
        <w:rPr>
          <w:rFonts w:ascii="Book Antiqua" w:hAnsi="Book Antiqua" w:cs="Tahoma"/>
        </w:rPr>
        <w:t>ή να έρχονται απευθείας σε επαφή με τους διοργανωτές:</w:t>
      </w:r>
      <w:r w:rsidRPr="00EF0790">
        <w:rPr>
          <w:rFonts w:ascii="Book Antiqua" w:hAnsi="Book Antiqua"/>
        </w:rPr>
        <w:t xml:space="preserve"> </w:t>
      </w:r>
    </w:p>
    <w:p w:rsidR="00127B9A" w:rsidRPr="00C21D1C" w:rsidRDefault="00127B9A" w:rsidP="00127B9A">
      <w:pPr>
        <w:jc w:val="both"/>
        <w:outlineLvl w:val="0"/>
        <w:rPr>
          <w:rFonts w:ascii="Century Gothic" w:hAnsi="Century Gothic" w:cs="TimesNewRomanPS-BoldItalicMT"/>
          <w:b/>
          <w:bCs/>
          <w:iCs/>
          <w:color w:val="9BBB59" w:themeColor="accent3"/>
          <w:sz w:val="28"/>
          <w:szCs w:val="28"/>
        </w:rPr>
      </w:pPr>
      <w:bookmarkStart w:id="21" w:name="_Toc315701939"/>
      <w:r w:rsidRPr="00C21D1C">
        <w:rPr>
          <w:rFonts w:ascii="Century Gothic" w:hAnsi="Century Gothic" w:cs="TimesNewRomanPS-BoldItalicMT"/>
          <w:b/>
          <w:bCs/>
          <w:iCs/>
          <w:color w:val="9BBB59" w:themeColor="accent3"/>
          <w:sz w:val="28"/>
          <w:szCs w:val="28"/>
          <w:lang w:val="en-US"/>
        </w:rPr>
        <w:t>V</w:t>
      </w:r>
      <w:r w:rsidRPr="00C21D1C">
        <w:rPr>
          <w:rFonts w:ascii="Century Gothic" w:hAnsi="Century Gothic" w:cs="TimesNewRomanPS-BoldItalicMT"/>
          <w:b/>
          <w:bCs/>
          <w:iCs/>
          <w:color w:val="9BBB59" w:themeColor="accent3"/>
          <w:sz w:val="28"/>
          <w:szCs w:val="28"/>
        </w:rPr>
        <w:t xml:space="preserve">. ΑΝΑΚΟΙΝΩΣΗ ΤΗΣ </w:t>
      </w:r>
      <w:r w:rsidRPr="00C21D1C">
        <w:rPr>
          <w:rFonts w:ascii="Century Gothic" w:hAnsi="Century Gothic" w:cs="TimesNewRomanPS-BoldItalicMT"/>
          <w:b/>
          <w:bCs/>
          <w:iCs/>
          <w:color w:val="9BBB59" w:themeColor="accent3"/>
          <w:sz w:val="28"/>
          <w:szCs w:val="28"/>
          <w:lang w:val="en-US"/>
        </w:rPr>
        <w:t>MF</w:t>
      </w:r>
      <w:r w:rsidRPr="00C21D1C">
        <w:rPr>
          <w:rFonts w:ascii="Century Gothic" w:hAnsi="Century Gothic" w:cs="TimesNewRomanPS-BoldItalicMT"/>
          <w:b/>
          <w:bCs/>
          <w:iCs/>
          <w:color w:val="9BBB59" w:themeColor="accent3"/>
          <w:sz w:val="28"/>
          <w:szCs w:val="28"/>
        </w:rPr>
        <w:t xml:space="preserve"> </w:t>
      </w:r>
      <w:r w:rsidRPr="00C21D1C">
        <w:rPr>
          <w:rFonts w:ascii="Century Gothic" w:hAnsi="Century Gothic" w:cs="TimesNewRomanPS-BoldItalicMT"/>
          <w:b/>
          <w:bCs/>
          <w:iCs/>
          <w:color w:val="9BBB59" w:themeColor="accent3"/>
          <w:sz w:val="28"/>
          <w:szCs w:val="28"/>
          <w:lang w:val="en-US"/>
        </w:rPr>
        <w:t>BUSINESS</w:t>
      </w:r>
      <w:r w:rsidRPr="00C21D1C">
        <w:rPr>
          <w:rFonts w:ascii="Century Gothic" w:hAnsi="Century Gothic" w:cs="TimesNewRomanPS-BoldItalicMT"/>
          <w:b/>
          <w:bCs/>
          <w:iCs/>
          <w:color w:val="9BBB59" w:themeColor="accent3"/>
          <w:sz w:val="28"/>
          <w:szCs w:val="28"/>
        </w:rPr>
        <w:t xml:space="preserve"> - ΣΕΜΙΝΑΡΙ</w:t>
      </w:r>
      <w:r w:rsidRPr="00C21D1C">
        <w:rPr>
          <w:rFonts w:ascii="Century Gothic" w:hAnsi="Century Gothic" w:cs="TimesNewRomanPS-BoldItalicMT"/>
          <w:b/>
          <w:bCs/>
          <w:iCs/>
          <w:color w:val="9BBB59" w:themeColor="accent3"/>
          <w:sz w:val="28"/>
          <w:szCs w:val="28"/>
          <w:lang w:val="bg-BG"/>
        </w:rPr>
        <w:t>О</w:t>
      </w:r>
      <w:r w:rsidRPr="00C21D1C">
        <w:rPr>
          <w:rFonts w:ascii="Century Gothic" w:hAnsi="Century Gothic" w:cs="TimesNewRomanPS-BoldItalicMT"/>
          <w:b/>
          <w:bCs/>
          <w:iCs/>
          <w:color w:val="9BBB59" w:themeColor="accent3"/>
          <w:sz w:val="28"/>
          <w:szCs w:val="28"/>
        </w:rPr>
        <w:t xml:space="preserve"> ΜΕ ΘΕΜΑ «ΚΑΡΙΕΡΑ ΣΤΗΝ ΕΥΡΩΠΑΪΚΗ ΕΝΩΣΗ», ΣΟΦΙΑ 17.02.2012</w:t>
      </w:r>
      <w:bookmarkEnd w:id="21"/>
    </w:p>
    <w:p w:rsidR="00127B9A" w:rsidRPr="00C21D1C" w:rsidRDefault="00127B9A" w:rsidP="00C21D1C">
      <w:pPr>
        <w:jc w:val="both"/>
        <w:rPr>
          <w:rFonts w:ascii="Book Antiqua" w:hAnsi="Book Antiqua" w:cs="Arial"/>
        </w:rPr>
      </w:pPr>
      <w:r w:rsidRPr="00A022D1">
        <w:rPr>
          <w:rFonts w:ascii="Book Antiqua" w:hAnsi="Book Antiqua" w:cs="Arial"/>
        </w:rPr>
        <w:t xml:space="preserve">Η εταιρία </w:t>
      </w:r>
      <w:r w:rsidRPr="00A022D1">
        <w:rPr>
          <w:rFonts w:ascii="Book Antiqua" w:hAnsi="Book Antiqua" w:cs="Arial"/>
          <w:lang w:val="en-US"/>
        </w:rPr>
        <w:t>MF</w:t>
      </w:r>
      <w:r w:rsidRPr="00A022D1">
        <w:rPr>
          <w:rFonts w:ascii="Book Antiqua" w:hAnsi="Book Antiqua" w:cs="Arial"/>
        </w:rPr>
        <w:t xml:space="preserve"> </w:t>
      </w:r>
      <w:r w:rsidRPr="00A022D1">
        <w:rPr>
          <w:rFonts w:ascii="Book Antiqua" w:hAnsi="Book Antiqua" w:cs="Arial"/>
          <w:lang w:val="en-US"/>
        </w:rPr>
        <w:t>Business</w:t>
      </w:r>
      <w:r w:rsidRPr="00A022D1">
        <w:rPr>
          <w:rFonts w:ascii="Book Antiqua" w:hAnsi="Book Antiqua" w:cs="Arial"/>
        </w:rPr>
        <w:t xml:space="preserve">, με έδρα στη Σόφια, μέλος του ομίλου </w:t>
      </w:r>
      <w:r w:rsidRPr="00A022D1">
        <w:rPr>
          <w:rFonts w:ascii="Book Antiqua" w:hAnsi="Book Antiqua" w:cs="Arial"/>
          <w:lang w:val="en-US"/>
        </w:rPr>
        <w:t>MF</w:t>
      </w:r>
      <w:r w:rsidRPr="00A022D1">
        <w:rPr>
          <w:rFonts w:ascii="Book Antiqua" w:hAnsi="Book Antiqua" w:cs="Arial"/>
        </w:rPr>
        <w:t xml:space="preserve"> ΟΙΚΟΝΟΜΟΤΕΧΝΙΚΗ που δραστηριοποιείται </w:t>
      </w:r>
      <w:r>
        <w:rPr>
          <w:rFonts w:ascii="Book Antiqua" w:hAnsi="Book Antiqua" w:cs="Arial"/>
        </w:rPr>
        <w:t xml:space="preserve">για περισσότερα από 20 έτη </w:t>
      </w:r>
      <w:r w:rsidRPr="00A022D1">
        <w:rPr>
          <w:rFonts w:ascii="Book Antiqua" w:hAnsi="Book Antiqua" w:cs="Arial"/>
        </w:rPr>
        <w:t>στην επαγγελματική επιμόρφωση, διοργανώνει τη 17</w:t>
      </w:r>
      <w:r w:rsidRPr="00A022D1">
        <w:rPr>
          <w:rFonts w:ascii="Book Antiqua" w:hAnsi="Book Antiqua" w:cs="Arial"/>
          <w:vertAlign w:val="superscript"/>
        </w:rPr>
        <w:t>η</w:t>
      </w:r>
      <w:r w:rsidRPr="00A022D1">
        <w:rPr>
          <w:rFonts w:ascii="Book Antiqua" w:hAnsi="Book Antiqua" w:cs="Arial"/>
        </w:rPr>
        <w:t xml:space="preserve"> Φεβρουαρίου 2012 σεμινάριο στη Σόφια με τίτλο «Καριέρα στην Ευρωπαϊκή Ένωση». Το σεμινάριο απευθύνεται σε στελέχη επιχειρήσεων, υπαλλήλους του ιδιωτικού και δημοσίου τομέα, ελεύθερους επαγγελ</w:t>
      </w:r>
      <w:r>
        <w:rPr>
          <w:rFonts w:ascii="Book Antiqua" w:hAnsi="Book Antiqua" w:cs="Arial"/>
        </w:rPr>
        <w:t xml:space="preserve">ματίες, φοιτητές και αποφοίτους, ενώ ενδιαφέρον παρουσιάζει και για </w:t>
      </w:r>
      <w:r w:rsidRPr="00A022D1">
        <w:rPr>
          <w:rFonts w:ascii="Book Antiqua" w:hAnsi="Book Antiqua" w:cs="Arial"/>
        </w:rPr>
        <w:t xml:space="preserve">πανεπιστημιακούς. </w:t>
      </w:r>
    </w:p>
    <w:p w:rsidR="00C21D1C" w:rsidRDefault="00C21D1C" w:rsidP="00C21D1C">
      <w:pPr>
        <w:widowControl w:val="0"/>
        <w:autoSpaceDE w:val="0"/>
        <w:autoSpaceDN w:val="0"/>
        <w:adjustRightInd w:val="0"/>
        <w:spacing w:before="31"/>
        <w:ind w:right="371"/>
        <w:rPr>
          <w:rFonts w:ascii="Arial" w:hAnsi="Arial" w:cs="Arial"/>
        </w:rPr>
      </w:pPr>
    </w:p>
    <w:p w:rsidR="00C21D1C" w:rsidRDefault="00C21D1C" w:rsidP="00C21D1C">
      <w:pPr>
        <w:widowControl w:val="0"/>
        <w:autoSpaceDE w:val="0"/>
        <w:autoSpaceDN w:val="0"/>
        <w:adjustRightInd w:val="0"/>
        <w:spacing w:before="31"/>
        <w:ind w:right="371"/>
        <w:rPr>
          <w:rFonts w:ascii="Arial" w:hAnsi="Arial" w:cs="Arial"/>
        </w:rPr>
      </w:pPr>
      <w:r>
        <w:rPr>
          <w:rFonts w:ascii="Arial" w:hAnsi="Arial" w:cs="Arial"/>
        </w:rPr>
        <w:t xml:space="preserve">                                                                                     </w:t>
      </w:r>
      <w:r w:rsidRPr="00E767F7">
        <w:rPr>
          <w:rFonts w:ascii="Arial" w:hAnsi="Arial" w:cs="Arial"/>
        </w:rPr>
        <w:t xml:space="preserve">     </w:t>
      </w:r>
      <w:r w:rsidRPr="00893AD7">
        <w:rPr>
          <w:rFonts w:ascii="Arial" w:hAnsi="Arial" w:cs="Arial"/>
        </w:rPr>
        <w:t xml:space="preserve"> </w:t>
      </w:r>
      <w:r w:rsidRPr="000A1627">
        <w:rPr>
          <w:rFonts w:ascii="Arial" w:hAnsi="Arial" w:cs="Arial"/>
        </w:rPr>
        <w:t>Πρόεδρος</w:t>
      </w:r>
      <w:r w:rsidRPr="00DB065A">
        <w:rPr>
          <w:rFonts w:ascii="Arial" w:hAnsi="Arial" w:cs="Arial"/>
        </w:rPr>
        <w:t xml:space="preserve"> </w:t>
      </w:r>
      <w:r w:rsidRPr="000A1627">
        <w:rPr>
          <w:rFonts w:ascii="Arial" w:hAnsi="Arial" w:cs="Arial"/>
        </w:rPr>
        <w:t>Δ</w:t>
      </w:r>
      <w:r>
        <w:rPr>
          <w:rFonts w:ascii="Arial" w:hAnsi="Arial" w:cs="Arial"/>
        </w:rPr>
        <w:t>Σ</w:t>
      </w:r>
      <w:r w:rsidRPr="00DB065A">
        <w:rPr>
          <w:rFonts w:ascii="Arial" w:hAnsi="Arial" w:cs="Arial"/>
        </w:rPr>
        <w:t xml:space="preserve">                                   </w:t>
      </w:r>
    </w:p>
    <w:p w:rsidR="00C21D1C" w:rsidRPr="00E767F7" w:rsidRDefault="00C21D1C" w:rsidP="00C21D1C">
      <w:pPr>
        <w:widowControl w:val="0"/>
        <w:autoSpaceDE w:val="0"/>
        <w:autoSpaceDN w:val="0"/>
        <w:adjustRightInd w:val="0"/>
        <w:spacing w:before="31"/>
        <w:ind w:right="371"/>
      </w:pPr>
      <w:r w:rsidRPr="00DB065A">
        <w:rPr>
          <w:rFonts w:ascii="Arial" w:hAnsi="Arial" w:cs="Arial"/>
        </w:rPr>
        <w:t xml:space="preserve"> </w:t>
      </w:r>
      <w:r>
        <w:rPr>
          <w:rFonts w:ascii="Arial" w:hAnsi="Arial" w:cs="Arial"/>
        </w:rPr>
        <w:t xml:space="preserve">                                                                                         </w:t>
      </w:r>
      <w:r w:rsidRPr="000A1627">
        <w:rPr>
          <w:rFonts w:ascii="Arial" w:hAnsi="Arial" w:cs="Arial"/>
        </w:rPr>
        <w:t>Παναγιώτης</w:t>
      </w:r>
      <w:r w:rsidRPr="00DB065A">
        <w:rPr>
          <w:rFonts w:ascii="Arial" w:hAnsi="Arial" w:cs="Arial"/>
        </w:rPr>
        <w:t xml:space="preserve"> </w:t>
      </w:r>
      <w:r w:rsidRPr="000A1627">
        <w:rPr>
          <w:rFonts w:ascii="Arial" w:hAnsi="Arial" w:cs="Arial"/>
        </w:rPr>
        <w:t>Κουτσίκος</w:t>
      </w:r>
    </w:p>
    <w:p w:rsidR="00C21D1C" w:rsidRPr="00DB065A" w:rsidRDefault="00C21D1C" w:rsidP="00C21D1C">
      <w:pPr>
        <w:pStyle w:val="a5"/>
        <w:rPr>
          <w:rFonts w:ascii="Tahoma" w:hAnsi="Tahoma" w:cs="Tahoma"/>
          <w:b/>
          <w:lang w:val="el-GR"/>
        </w:rPr>
      </w:pPr>
      <w:r w:rsidRPr="00DB065A">
        <w:rPr>
          <w:rFonts w:ascii="Tahoma" w:hAnsi="Tahoma" w:cs="Tahoma"/>
          <w:b/>
          <w:noProof/>
          <w:sz w:val="16"/>
          <w:szCs w:val="18"/>
          <w:lang w:val="el-GR"/>
        </w:rPr>
        <w:t xml:space="preserve">           </w:t>
      </w:r>
      <w:r w:rsidRPr="00DB065A">
        <w:rPr>
          <w:rFonts w:ascii="Tahoma" w:hAnsi="Tahoma" w:cs="Tahoma"/>
          <w:b/>
          <w:noProof/>
          <w:lang w:val="el-GR"/>
        </w:rPr>
        <w:t xml:space="preserve">27 </w:t>
      </w:r>
      <w:r w:rsidRPr="000B36F5">
        <w:rPr>
          <w:rFonts w:ascii="Tahoma" w:hAnsi="Tahoma" w:cs="Tahoma"/>
          <w:b/>
          <w:noProof/>
        </w:rPr>
        <w:t>K</w:t>
      </w:r>
      <w:r w:rsidRPr="00DB065A">
        <w:rPr>
          <w:rFonts w:ascii="Tahoma" w:hAnsi="Tahoma" w:cs="Tahoma"/>
          <w:b/>
          <w:noProof/>
          <w:lang w:val="el-GR"/>
        </w:rPr>
        <w:t>.</w:t>
      </w:r>
      <w:r w:rsidRPr="000B36F5">
        <w:rPr>
          <w:rFonts w:ascii="Tahoma" w:hAnsi="Tahoma" w:cs="Tahoma"/>
          <w:b/>
          <w:noProof/>
        </w:rPr>
        <w:t>Varnali</w:t>
      </w:r>
      <w:r w:rsidRPr="00DB065A">
        <w:rPr>
          <w:rFonts w:ascii="Tahoma" w:hAnsi="Tahoma" w:cs="Tahoma"/>
          <w:b/>
          <w:noProof/>
          <w:lang w:val="el-GR"/>
        </w:rPr>
        <w:t xml:space="preserve"> </w:t>
      </w:r>
      <w:r w:rsidRPr="000B36F5">
        <w:rPr>
          <w:rFonts w:ascii="Tahoma" w:hAnsi="Tahoma" w:cs="Tahoma"/>
          <w:b/>
          <w:noProof/>
        </w:rPr>
        <w:t>Str</w:t>
      </w:r>
      <w:r w:rsidRPr="00DB065A">
        <w:rPr>
          <w:rFonts w:ascii="Tahoma" w:hAnsi="Tahoma" w:cs="Tahoma"/>
          <w:b/>
          <w:noProof/>
          <w:lang w:val="el-GR"/>
        </w:rPr>
        <w:t xml:space="preserve">, </w:t>
      </w:r>
      <w:r>
        <w:rPr>
          <w:rFonts w:ascii="Tahoma" w:hAnsi="Tahoma" w:cs="Tahoma"/>
          <w:b/>
          <w:noProof/>
          <w:lang w:val="en-US"/>
        </w:rPr>
        <w:t>Kifissia</w:t>
      </w:r>
      <w:r w:rsidRPr="00DB065A">
        <w:rPr>
          <w:rFonts w:ascii="Tahoma" w:hAnsi="Tahoma" w:cs="Tahoma"/>
          <w:b/>
          <w:noProof/>
          <w:lang w:val="el-GR"/>
        </w:rPr>
        <w:t xml:space="preserve">- </w:t>
      </w:r>
      <w:r>
        <w:rPr>
          <w:rFonts w:ascii="Tahoma" w:hAnsi="Tahoma" w:cs="Tahoma"/>
          <w:b/>
          <w:noProof/>
          <w:lang w:val="en-US"/>
        </w:rPr>
        <w:t>Athens</w:t>
      </w:r>
      <w:r w:rsidRPr="00DB065A">
        <w:rPr>
          <w:rFonts w:ascii="Tahoma" w:hAnsi="Tahoma" w:cs="Tahoma"/>
          <w:b/>
          <w:noProof/>
          <w:lang w:val="el-GR"/>
        </w:rPr>
        <w:t xml:space="preserve"> </w:t>
      </w:r>
      <w:r w:rsidRPr="00DB065A">
        <w:rPr>
          <w:rFonts w:ascii="Tahoma" w:hAnsi="Tahoma" w:cs="Tahoma"/>
          <w:b/>
          <w:lang w:val="el-GR"/>
        </w:rPr>
        <w:t xml:space="preserve">, 14671  </w:t>
      </w:r>
      <w:r w:rsidRPr="000B36F5">
        <w:rPr>
          <w:rFonts w:ascii="Tahoma" w:hAnsi="Tahoma" w:cs="Tahoma"/>
          <w:b/>
          <w:lang w:val="en-US"/>
        </w:rPr>
        <w:t>Tel</w:t>
      </w:r>
      <w:r w:rsidRPr="00DB065A">
        <w:rPr>
          <w:rFonts w:ascii="Tahoma" w:hAnsi="Tahoma" w:cs="Tahoma"/>
          <w:b/>
          <w:lang w:val="el-GR"/>
        </w:rPr>
        <w:t xml:space="preserve">.2117000267  </w:t>
      </w:r>
    </w:p>
    <w:p w:rsidR="00C21D1C" w:rsidRPr="005F2423" w:rsidRDefault="00C21D1C" w:rsidP="00C21D1C">
      <w:pPr>
        <w:pStyle w:val="a5"/>
        <w:rPr>
          <w:rFonts w:ascii="Tahoma" w:hAnsi="Tahoma" w:cs="Tahoma"/>
          <w:b/>
          <w:lang w:val="en-GB"/>
        </w:rPr>
      </w:pPr>
      <w:r w:rsidRPr="003A51BC">
        <w:rPr>
          <w:rFonts w:ascii="Tahoma" w:hAnsi="Tahoma" w:cs="Tahoma"/>
          <w:b/>
          <w:lang w:val="el-GR"/>
        </w:rPr>
        <w:t xml:space="preserve">                                   </w:t>
      </w:r>
      <w:r>
        <w:rPr>
          <w:rFonts w:ascii="Tahoma" w:hAnsi="Tahoma" w:cs="Tahoma"/>
          <w:b/>
          <w:lang w:val="en-GB"/>
        </w:rPr>
        <w:t xml:space="preserve">Fax: </w:t>
      </w:r>
      <w:r w:rsidRPr="00893AD7">
        <w:rPr>
          <w:rFonts w:ascii="Tahoma" w:hAnsi="Tahoma" w:cs="Tahoma"/>
          <w:b/>
          <w:lang w:val="en-US"/>
        </w:rPr>
        <w:t>2117409283</w:t>
      </w:r>
      <w:r w:rsidRPr="005F2423">
        <w:rPr>
          <w:rFonts w:ascii="Tahoma" w:hAnsi="Tahoma" w:cs="Tahoma"/>
          <w:b/>
          <w:lang w:val="en-GB"/>
        </w:rPr>
        <w:t xml:space="preserve"> ,  E Mail</w:t>
      </w:r>
      <w:r w:rsidRPr="00DB065A">
        <w:rPr>
          <w:rFonts w:ascii="Tahoma" w:hAnsi="Tahoma" w:cs="Tahoma"/>
          <w:b/>
          <w:lang w:val="en-GB"/>
        </w:rPr>
        <w:t>:</w:t>
      </w:r>
      <w:r w:rsidRPr="00DB065A">
        <w:rPr>
          <w:b/>
          <w:lang w:val="en-US"/>
        </w:rPr>
        <w:t xml:space="preserve"> info@gbcci.org</w:t>
      </w:r>
      <w:r w:rsidRPr="005F2423">
        <w:rPr>
          <w:rFonts w:ascii="Tahoma" w:hAnsi="Tahoma" w:cs="Tahoma"/>
          <w:b/>
          <w:lang w:val="en-GB"/>
        </w:rPr>
        <w:t xml:space="preserve">  </w:t>
      </w:r>
    </w:p>
    <w:p w:rsidR="00127B9A" w:rsidRPr="00C21D1C" w:rsidRDefault="00127B9A" w:rsidP="00127B9A">
      <w:pPr>
        <w:tabs>
          <w:tab w:val="left" w:pos="2220"/>
        </w:tabs>
        <w:rPr>
          <w:lang w:val="en-US"/>
        </w:rPr>
      </w:pPr>
    </w:p>
    <w:sectPr w:rsidR="00127B9A" w:rsidRPr="00C21D1C" w:rsidSect="00BC3B3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entury Gothic">
    <w:panose1 w:val="020B0502020202020204"/>
    <w:charset w:val="A1"/>
    <w:family w:val="swiss"/>
    <w:pitch w:val="variable"/>
    <w:sig w:usb0="00000287" w:usb1="00000000" w:usb2="00000000" w:usb3="00000000" w:csb0="0000009F" w:csb1="00000000"/>
  </w:font>
  <w:font w:name="TimesNewRomanPS-BoldItalicMT">
    <w:charset w:val="A1"/>
    <w:family w:val="auto"/>
    <w:pitch w:val="default"/>
    <w:sig w:usb0="00000000" w:usb1="00000000" w:usb2="00000000" w:usb3="00000000" w:csb0="00000000" w:csb1="00000000"/>
  </w:font>
  <w:font w:name="All 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40C86"/>
    <w:multiLevelType w:val="hybridMultilevel"/>
    <w:tmpl w:val="60DC2B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738A4FF2"/>
    <w:multiLevelType w:val="hybridMultilevel"/>
    <w:tmpl w:val="DA86F242"/>
    <w:lvl w:ilvl="0" w:tplc="A352EBC0">
      <w:start w:val="5"/>
      <w:numFmt w:val="bullet"/>
      <w:lvlText w:val="-"/>
      <w:lvlJc w:val="left"/>
      <w:pPr>
        <w:tabs>
          <w:tab w:val="num" w:pos="420"/>
        </w:tabs>
        <w:ind w:left="420" w:hanging="360"/>
      </w:pPr>
      <w:rPr>
        <w:rFonts w:ascii="Book Antiqua" w:eastAsia="Times New Roman" w:hAnsi="Book Antiqua"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7658"/>
    <w:rsid w:val="000B55A4"/>
    <w:rsid w:val="00127B9A"/>
    <w:rsid w:val="00193B6B"/>
    <w:rsid w:val="00193FE4"/>
    <w:rsid w:val="00537658"/>
    <w:rsid w:val="00BC3B3E"/>
    <w:rsid w:val="00C21D1C"/>
    <w:rsid w:val="00C96BA7"/>
    <w:rsid w:val="00D03F14"/>
    <w:rsid w:val="00E767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B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CharCharCharCharCharCharCharCharCharCharCharCharCharCharCharChar">
    <w:name w:val="Char Char1 Char Char Char Char Char Char Char Char Char Char Char Char Char Char Char Char Char Char"/>
    <w:basedOn w:val="a"/>
    <w:rsid w:val="00127B9A"/>
    <w:pPr>
      <w:tabs>
        <w:tab w:val="left" w:pos="709"/>
      </w:tabs>
      <w:spacing w:after="0" w:line="360" w:lineRule="auto"/>
    </w:pPr>
    <w:rPr>
      <w:rFonts w:ascii="Tahoma" w:eastAsia="Times New Roman" w:hAnsi="Tahoma" w:cs="Times New Roman"/>
      <w:sz w:val="24"/>
      <w:szCs w:val="24"/>
      <w:lang w:val="pl-PL" w:eastAsia="pl-PL"/>
    </w:rPr>
  </w:style>
  <w:style w:type="paragraph" w:styleId="a3">
    <w:name w:val="Balloon Text"/>
    <w:basedOn w:val="a"/>
    <w:link w:val="Char"/>
    <w:uiPriority w:val="99"/>
    <w:semiHidden/>
    <w:unhideWhenUsed/>
    <w:rsid w:val="00127B9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27B9A"/>
    <w:rPr>
      <w:rFonts w:ascii="Tahoma" w:hAnsi="Tahoma" w:cs="Tahoma"/>
      <w:sz w:val="16"/>
      <w:szCs w:val="16"/>
    </w:rPr>
  </w:style>
  <w:style w:type="paragraph" w:styleId="a4">
    <w:name w:val="caption"/>
    <w:basedOn w:val="a"/>
    <w:next w:val="a"/>
    <w:qFormat/>
    <w:rsid w:val="00127B9A"/>
    <w:pPr>
      <w:suppressAutoHyphens/>
      <w:spacing w:after="0" w:line="240" w:lineRule="auto"/>
    </w:pPr>
    <w:rPr>
      <w:rFonts w:ascii="Times New Roman" w:eastAsia="Times New Roman" w:hAnsi="Times New Roman" w:cs="Times New Roman"/>
      <w:b/>
      <w:bCs/>
      <w:sz w:val="20"/>
      <w:szCs w:val="20"/>
      <w:lang w:val="en-GB" w:eastAsia="ar-SA"/>
    </w:rPr>
  </w:style>
  <w:style w:type="character" w:styleId="-">
    <w:name w:val="Hyperlink"/>
    <w:basedOn w:val="a0"/>
    <w:rsid w:val="00127B9A"/>
    <w:rPr>
      <w:color w:val="0000FF"/>
      <w:u w:val="single"/>
    </w:rPr>
  </w:style>
  <w:style w:type="character" w:customStyle="1" w:styleId="apple-style-span">
    <w:name w:val="apple-style-span"/>
    <w:basedOn w:val="a0"/>
    <w:rsid w:val="00127B9A"/>
  </w:style>
  <w:style w:type="paragraph" w:styleId="Web">
    <w:name w:val="Normal (Web)"/>
    <w:basedOn w:val="a"/>
    <w:rsid w:val="00127B9A"/>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footer"/>
    <w:basedOn w:val="a"/>
    <w:link w:val="Char0"/>
    <w:rsid w:val="00C21D1C"/>
    <w:pPr>
      <w:tabs>
        <w:tab w:val="center" w:pos="4153"/>
        <w:tab w:val="right" w:pos="8306"/>
      </w:tabs>
      <w:spacing w:after="0" w:line="240" w:lineRule="auto"/>
    </w:pPr>
    <w:rPr>
      <w:rFonts w:ascii="Times New Roman" w:eastAsia="Times New Roman" w:hAnsi="Times New Roman" w:cs="Times New Roman"/>
      <w:sz w:val="20"/>
      <w:szCs w:val="20"/>
      <w:lang w:val="en-AU" w:eastAsia="ja-JP"/>
    </w:rPr>
  </w:style>
  <w:style w:type="character" w:customStyle="1" w:styleId="Char0">
    <w:name w:val="Υποσέλιδο Char"/>
    <w:basedOn w:val="a0"/>
    <w:link w:val="a5"/>
    <w:rsid w:val="00C21D1C"/>
    <w:rPr>
      <w:rFonts w:ascii="Times New Roman" w:eastAsia="Times New Roman" w:hAnsi="Times New Roman" w:cs="Times New Roman"/>
      <w:sz w:val="20"/>
      <w:szCs w:val="20"/>
      <w:lang w:val="en-AU"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www.furfair.gr"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4059</Words>
  <Characters>21921</Characters>
  <Application>Microsoft Office Word</Application>
  <DocSecurity>0</DocSecurity>
  <Lines>182</Lines>
  <Paragraphs>51</Paragraphs>
  <ScaleCrop>false</ScaleCrop>
  <Company/>
  <LinksUpToDate>false</LinksUpToDate>
  <CharactersWithSpaces>25929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2012-02-16T14:14:00Z</dcterms:created>
  <dcterms:modified xsi:type="dcterms:W3CDTF">2012-02-17T12:31:00Z</dcterms:modified>
</cp:coreProperties>
</file>